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rect style="position:absolute;margin-left:0pt;margin-top:.000015pt;width:595.275pt;height:841.89pt;mso-position-horizontal-relative:page;mso-position-vertical-relative:page;z-index:-16109568" filled="true" fillcolor="#ba2025" stroked="false">
            <v:fill type="solid"/>
            <w10:wrap type="none"/>
          </v:rect>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16"/>
        </w:rPr>
      </w:pPr>
    </w:p>
    <w:p>
      <w:pPr>
        <w:pStyle w:val="Title"/>
        <w:spacing w:line="232" w:lineRule="auto" w:before="87"/>
        <w:ind w:left="2175" w:right="2158"/>
      </w:pPr>
      <w:r>
        <w:rPr/>
        <w:pict>
          <v:group style="position:absolute;margin-left:73.263901pt;margin-top:-80.640175pt;width:448.3pt;height:448.3pt;mso-position-horizontal-relative:page;mso-position-vertical-relative:paragraph;z-index:-16109056" coordorigin="1465,-1613" coordsize="8966,8966">
            <v:shape style="position:absolute;left:1465;top:2869;width:4483;height:4483" coordorigin="1465,2870" coordsize="4483,4483" path="m5948,2870l1465,2870,1466,2946,1468,3022,1471,3098,1475,3174,1481,3249,1488,3324,1496,3398,1505,3472,1516,3546,1528,3619,1540,3692,1555,3764,1570,3836,1586,3908,1604,3979,1622,4050,1642,4120,1663,4190,1685,4259,1708,4328,1732,4396,1757,4464,1783,4531,1811,4598,1839,4664,1868,4730,1899,4795,1930,4860,1962,4924,1996,4987,2030,5050,2065,5112,2102,5173,2139,5234,2177,5294,2216,5354,2256,5413,2297,5471,2339,5529,2381,5586,2425,5642,2469,5697,2514,5752,2561,5806,2607,5859,2655,5912,2704,5963,2753,6014,2803,6065,2854,6114,2906,6163,2959,6210,3012,6257,3066,6303,3121,6349,3176,6393,3232,6437,3289,6479,3347,6521,3405,6562,3464,6602,3523,6641,3584,6679,3645,6716,3706,6752,3768,6788,3831,6822,3894,6855,3958,6888,4023,6919,4088,6950,4153,6979,4220,7007,4286,7034,4354,7061,4422,7086,4490,7110,4559,7133,4628,7155,4698,7176,4768,7196,4839,7214,4910,7232,4981,7248,5054,7263,5126,7277,5199,7290,5272,7302,5346,7312,5420,7322,5494,7330,5569,7337,5644,7342,5720,7347,5795,7350,5872,7352,5948,7352,5948,2870xe" filled="true" fillcolor="#ba2025" stroked="false">
              <v:path arrowok="t"/>
              <v:fill type="solid"/>
            </v:shape>
            <v:shape style="position:absolute;left:1465;top:-1613;width:8966;height:8966" coordorigin="1465,-1613" coordsize="8966,8966" path="m5948,-1613l5872,-1612,5795,-1610,5720,-1607,5644,-1603,5569,-1597,5494,-1590,5420,-1582,5346,-1573,5272,-1562,5199,-1550,5126,-1538,5054,-1524,4981,-1508,4910,-1492,4839,-1475,4768,-1456,4698,-1436,4628,-1415,4559,-1393,4490,-1370,4422,-1346,4354,-1321,4286,-1295,4220,-1268,4153,-1239,4088,-1210,4023,-1179,3958,-1148,3894,-1116,3831,-1082,3768,-1048,3706,-1013,3645,-977,3584,-939,3523,-901,3464,-862,3405,-822,3347,-781,3289,-739,3232,-697,3176,-653,3121,-609,3066,-564,3012,-518,2959,-471,2906,-423,2854,-374,2803,-325,2753,-275,2704,-224,2655,-172,2607,-119,2561,-66,2514,-12,2469,43,2425,98,2381,154,2339,211,2297,269,2256,327,2216,386,2177,445,2139,506,2102,566,2065,628,2030,690,1996,753,1962,816,1930,880,1899,945,1868,1010,1839,1075,1811,1142,1783,1208,1757,1276,1732,1343,1708,1412,1685,1481,1663,1550,1642,1620,1622,1690,1604,1761,1586,1832,1570,1903,1555,1975,1540,2048,1528,2121,1516,2194,1505,2268,1496,2342,1488,2416,1481,2491,1475,2566,1471,2642,1468,2717,1466,2793,1465,2870,1466,2946,1468,3022,1471,3098,1475,3174,1481,3249,1488,3324,1496,3398,1505,3472,1516,3546,1528,3619,1540,3692,1555,3764,1570,3836,1586,3908,1604,3979,1622,4050,1642,4120,1663,4190,1685,4259,1708,4328,1732,4396,1757,4464,1783,4531,1811,4598,1839,4664,1868,4730,1899,4795,1930,4860,1962,4924,1996,4987,2030,5050,2065,5112,2102,5173,2139,5234,2177,5294,2216,5354,2256,5413,2297,5471,2339,5529,2381,5586,2425,5642,2469,5697,2514,5752,2561,5806,2607,5859,2655,5912,2704,5963,2753,6014,2803,6065,2854,6114,2906,6163,2959,6210,3012,6257,3066,6303,3121,6349,3176,6393,3232,6437,3289,6479,3347,6521,3405,6562,3464,6602,3523,6641,3584,6679,3645,6716,3706,6752,3768,6788,3831,6822,3894,6855,3958,6888,4023,6919,4088,6950,4153,6979,4220,7007,4286,7034,4354,7061,4422,7086,4490,7110,4559,7133,4628,7155,4698,7176,4768,7196,4839,7214,4910,7232,4981,7248,5054,7263,5126,7277,5199,7290,5272,7302,5346,7312,5420,7322,5494,7330,5569,7337,5644,7342,5720,7347,5795,7350,5872,7352,5948,7352,6024,7352,6100,7350,6176,7347,6252,7342,6327,7337,6402,7330,6476,7322,6550,7312,6624,7302,6697,7290,6770,7277,6842,7263,6914,7248,6986,7232,7057,7214,7128,7196,7198,7176,7268,7155,7337,7133,7406,7110,7474,7086,7542,7061,7609,7034,7676,7007,7742,6979,7808,6950,7873,6919,7938,6888,8002,6855,8065,6822,8128,6788,8190,6752,8251,6716,8312,6679,8372,6641,8432,6602,8491,6562,8549,6521,8607,6479,8664,6437,8720,6393,8775,6349,8830,6303,8884,6257,8937,6210,8990,6163,9041,6114,9092,6065,9143,6014,9192,5963,9241,5912,9288,5859,9335,5806,9381,5752,9427,5697,9471,5642,9515,5586,9557,5529,9599,5471,9640,5413,9680,5354,9719,5294,9757,5234,9794,5173,9831,5112,9866,5050,9900,4987,9934,4924,9966,4860,9997,4795,10028,4730,10057,4664,10085,4598,10113,4531,10139,4464,10164,4396,10188,4328,10211,4259,10233,4190,10254,4120,10274,4050,10292,3979,10310,3908,10326,3836,10341,3764,10355,3692,10368,3619,10380,3546,10390,3472,10400,3398,10408,3324,10415,3249,10420,3174,10425,3098,10428,3022,10430,2946,10431,2870,10430,2793,10428,2717,10425,2642,10420,2566,10415,2491,10408,2416,10400,2342,10390,2268,10380,2194,10368,2121,10355,2048,10341,1975,10326,1903,10310,1832,10292,1761,10274,1690,10254,1620,10233,1550,10211,1481,10188,1412,10164,1343,10139,1276,10113,1208,10085,1142,10057,1075,10028,1010,9997,945,9966,880,9934,816,9900,753,9866,690,9831,628,9794,566,9757,506,9719,445,9680,386,9640,327,9599,269,9557,211,9515,154,9471,98,9427,43,9381,-12,9335,-66,9288,-119,9241,-172,9192,-224,9143,-275,9092,-325,9041,-374,8990,-423,8937,-471,8884,-518,8830,-564,8775,-609,8720,-653,8664,-697,8607,-739,8549,-781,8491,-822,8432,-862,8372,-901,8312,-939,8251,-977,8190,-1013,8128,-1048,8065,-1082,8002,-1116,7938,-1148,7873,-1179,7808,-1210,7742,-1239,7676,-1268,7609,-1295,7542,-1321,7474,-1346,7406,-1370,7337,-1393,7268,-1415,7198,-1436,7128,-1456,7057,-1475,6986,-1492,6914,-1508,6842,-1524,6770,-1538,6697,-1550,6624,-1562,6550,-1573,6476,-1582,6402,-1590,6327,-1597,6252,-1603,6176,-1607,6100,-1610,6024,-1612,5948,-1613xe" filled="true" fillcolor="#ffffff" stroked="false">
              <v:path arrowok="t"/>
              <v:fill opacity="52428f" type="solid"/>
            </v:shape>
            <v:rect style="position:absolute;left:9132;top:-1354;width:1049;height:1049" filled="true" fillcolor="#fbbfa8" stroked="false">
              <v:fill type="solid"/>
            </v:rect>
            <w10:wrap type="none"/>
          </v:group>
        </w:pict>
      </w:r>
      <w:r>
        <w:rPr/>
        <w:pict>
          <v:line style="position:absolute;mso-position-horizontal-relative:page;mso-position-vertical-relative:paragraph;z-index:15729664" from="548.031494pt,-64.140976pt" to="548.031494pt,99.560024pt" stroked="true" strokeweight="1pt" strokecolor="#cb4d2c">
            <v:stroke dashstyle="solid"/>
            <w10:wrap type="none"/>
          </v:line>
        </w:pict>
      </w:r>
      <w:r>
        <w:rPr/>
        <w:pict>
          <v:shapetype id="_x0000_t202" o:spt="202" coordsize="21600,21600" path="m,l,21600r21600,l21600,xe">
            <v:stroke joinstyle="miter"/>
            <v:path gradientshapeok="t" o:connecttype="rect"/>
          </v:shapetype>
          <v:shape style="position:absolute;margin-left:519.573669pt;margin-top:-68.684174pt;width:18.650pt;height:160.5pt;mso-position-horizontal-relative:page;mso-position-vertical-relative:paragraph;z-index:15730176" type="#_x0000_t202" filled="false" stroked="false">
            <v:textbox inset="0,0,0,0" style="layout-flow:vertical">
              <w:txbxContent>
                <w:p>
                  <w:pPr>
                    <w:spacing w:before="6"/>
                    <w:ind w:left="20" w:right="0" w:firstLine="0"/>
                    <w:jc w:val="left"/>
                    <w:rPr>
                      <w:rFonts w:ascii="Arial"/>
                      <w:sz w:val="30"/>
                    </w:rPr>
                  </w:pPr>
                  <w:r>
                    <w:rPr>
                      <w:rFonts w:ascii="Arial"/>
                      <w:color w:val="FFFFFF"/>
                      <w:w w:val="95"/>
                      <w:sz w:val="30"/>
                    </w:rPr>
                    <w:t>PROFESSIONAL</w:t>
                  </w:r>
                  <w:r>
                    <w:rPr>
                      <w:rFonts w:ascii="Arial"/>
                      <w:color w:val="FFFFFF"/>
                      <w:spacing w:val="-33"/>
                      <w:w w:val="95"/>
                      <w:sz w:val="30"/>
                    </w:rPr>
                    <w:t> </w:t>
                  </w:r>
                  <w:r>
                    <w:rPr>
                      <w:rFonts w:ascii="Arial"/>
                      <w:color w:val="FFFFFF"/>
                      <w:w w:val="95"/>
                      <w:sz w:val="30"/>
                    </w:rPr>
                    <w:t>GUIDE</w:t>
                  </w:r>
                </w:p>
              </w:txbxContent>
            </v:textbox>
            <w10:wrap type="none"/>
          </v:shape>
        </w:pict>
      </w:r>
      <w:r>
        <w:rPr>
          <w:color w:val="CB4D2C"/>
        </w:rPr>
        <w:t>SWING</w:t>
      </w:r>
      <w:r>
        <w:rPr>
          <w:color w:val="CB4D2C"/>
          <w:spacing w:val="-114"/>
        </w:rPr>
        <w:t> </w:t>
      </w:r>
      <w:r>
        <w:rPr>
          <w:color w:val="CB4D2C"/>
        </w:rPr>
        <w:t>PRICING AND </w:t>
      </w:r>
      <w:r>
        <w:rPr>
          <w:color w:val="CB4D2C"/>
          <w:spacing w:val="-12"/>
        </w:rPr>
        <w:t>VARIABLE</w:t>
      </w:r>
    </w:p>
    <w:p>
      <w:pPr>
        <w:pStyle w:val="Title"/>
        <w:spacing w:line="801" w:lineRule="exact"/>
      </w:pPr>
      <w:r>
        <w:rPr>
          <w:color w:val="CB4D2C"/>
        </w:rPr>
        <w:t>ANTI DILUTION</w:t>
      </w:r>
      <w:r>
        <w:rPr>
          <w:color w:val="CB4D2C"/>
          <w:spacing w:val="-117"/>
        </w:rPr>
        <w:t> </w:t>
      </w:r>
      <w:r>
        <w:rPr>
          <w:color w:val="CB4D2C"/>
        </w:rPr>
        <w:t>LEVIES</w:t>
      </w:r>
    </w:p>
    <w:p>
      <w:pPr>
        <w:spacing w:before="122"/>
        <w:ind w:left="2180" w:right="2158" w:firstLine="0"/>
        <w:jc w:val="center"/>
        <w:rPr>
          <w:rFonts w:ascii="Arial"/>
          <w:sz w:val="56"/>
        </w:rPr>
      </w:pPr>
      <w:r>
        <w:rPr>
          <w:rFonts w:ascii="Arial"/>
          <w:color w:val="CB4D2C"/>
          <w:w w:val="105"/>
          <w:sz w:val="56"/>
        </w:rPr>
        <w:t>(ADL)</w:t>
      </w:r>
    </w:p>
    <w:p>
      <w:pPr>
        <w:spacing w:line="297" w:lineRule="auto" w:before="157"/>
        <w:ind w:left="2182" w:right="2158" w:firstLine="0"/>
        <w:jc w:val="center"/>
        <w:rPr>
          <w:rFonts w:ascii="Arial"/>
          <w:sz w:val="56"/>
        </w:rPr>
      </w:pPr>
      <w:r>
        <w:rPr>
          <w:rFonts w:ascii="Arial"/>
          <w:color w:val="CB4D2C"/>
          <w:sz w:val="56"/>
        </w:rPr>
        <w:t>CODE OF CONDUCT </w:t>
      </w:r>
      <w:r>
        <w:rPr>
          <w:rFonts w:ascii="Arial"/>
          <w:color w:val="CB4D2C"/>
          <w:spacing w:val="-5"/>
          <w:sz w:val="56"/>
        </w:rPr>
        <w:t>FOR </w:t>
      </w:r>
      <w:r>
        <w:rPr>
          <w:rFonts w:ascii="Arial"/>
          <w:color w:val="CB4D2C"/>
          <w:sz w:val="56"/>
        </w:rPr>
        <w:t>ASSET</w:t>
      </w:r>
      <w:r>
        <w:rPr>
          <w:rFonts w:ascii="Arial"/>
          <w:color w:val="CB4D2C"/>
          <w:spacing w:val="-54"/>
          <w:sz w:val="56"/>
        </w:rPr>
        <w:t> </w:t>
      </w:r>
      <w:r>
        <w:rPr>
          <w:rFonts w:ascii="Arial"/>
          <w:color w:val="CB4D2C"/>
          <w:sz w:val="56"/>
        </w:rPr>
        <w:t>MANAGERS</w:t>
      </w:r>
    </w:p>
    <w:p>
      <w:pPr>
        <w:pStyle w:val="Heading1"/>
        <w:spacing w:before="228"/>
        <w:ind w:left="2175" w:right="2158"/>
        <w:jc w:val="center"/>
      </w:pPr>
      <w:r>
        <w:rPr>
          <w:color w:val="CB4D2C"/>
          <w:w w:val="105"/>
        </w:rPr>
        <w:t>2016 modified November 2020</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spacing w:before="231"/>
        <w:ind w:left="2177" w:right="2158" w:firstLine="0"/>
        <w:jc w:val="center"/>
        <w:rPr>
          <w:rFonts w:ascii="Arial"/>
          <w:sz w:val="32"/>
        </w:rPr>
      </w:pPr>
      <w:r>
        <w:rPr>
          <w:rFonts w:ascii="Arial"/>
          <w:color w:val="FFFFFF"/>
          <w:w w:val="110"/>
          <w:sz w:val="32"/>
        </w:rPr>
        <w:t>November 2020</w:t>
      </w:r>
    </w:p>
    <w:p>
      <w:pPr>
        <w:spacing w:after="0"/>
        <w:jc w:val="center"/>
        <w:rPr>
          <w:rFonts w:ascii="Arial"/>
          <w:sz w:val="32"/>
        </w:rPr>
        <w:sectPr>
          <w:type w:val="continuous"/>
          <w:pgSz w:w="11910" w:h="16840"/>
          <w:pgMar w:top="1580" w:bottom="280" w:left="340" w:right="360"/>
        </w:sectPr>
      </w:pPr>
    </w:p>
    <w:p>
      <w:pPr>
        <w:pStyle w:val="BodyText"/>
        <w:spacing w:before="4"/>
        <w:rPr>
          <w:rFonts w:ascii="Arial"/>
          <w:sz w:val="17"/>
        </w:rPr>
      </w:pPr>
    </w:p>
    <w:p>
      <w:pPr>
        <w:spacing w:after="0"/>
        <w:rPr>
          <w:rFonts w:ascii="Arial"/>
          <w:sz w:val="17"/>
        </w:rPr>
        <w:sectPr>
          <w:pgSz w:w="11910" w:h="16840"/>
          <w:pgMar w:top="1580" w:bottom="280" w:left="340" w:right="360"/>
        </w:sectPr>
      </w:pPr>
    </w:p>
    <w:p>
      <w:pPr>
        <w:pStyle w:val="BodyText"/>
        <w:spacing w:before="77"/>
        <w:ind w:right="102"/>
        <w:jc w:val="right"/>
        <w:rPr>
          <w:rFonts w:ascii="Arial"/>
        </w:rPr>
      </w:pPr>
      <w:r>
        <w:rPr/>
        <w:pict>
          <v:group style="position:absolute;margin-left:70.355003pt;margin-top:22.599689pt;width:50pt;height:50pt;mso-position-horizontal-relative:page;mso-position-vertical-relative:paragraph;z-index:15737344" coordorigin="1407,452" coordsize="1000,1000">
            <v:rect style="position:absolute;left:2202;top:1247;width:205;height:205" filled="true" fillcolor="#cb4d2c" stroked="false">
              <v:fill type="solid"/>
            </v:rect>
            <v:shape style="position:absolute;left:1566;top:611;width:637;height:637" coordorigin="1566,611" coordsize="637,637" path="m2203,611l1566,611,1566,770,1566,1247,2203,1247,2203,770,2203,611xe" filled="true" fillcolor="#f58667" stroked="false">
              <v:path arrowok="t"/>
              <v:fill type="solid"/>
            </v:shape>
            <v:rect style="position:absolute;left:1407;top:452;width:319;height:319" filled="true" fillcolor="#9f1d27" stroked="false">
              <v:fill type="solid"/>
            </v:rect>
            <v:rect style="position:absolute;left:1566;top:611;width:160;height:160" filled="true" fillcolor="#631719" stroked="false">
              <v:fill type="solid"/>
            </v:rect>
            <w10:wrap type="none"/>
          </v:group>
        </w:pict>
      </w:r>
      <w:r>
        <w:rPr/>
        <w:pict>
          <v:shape style="position:absolute;margin-left:559.997437pt;margin-top:21.521748pt;width:9.8pt;height:84.7pt;mso-position-horizontal-relative:page;mso-position-vertical-relative:paragraph;z-index:15737856" type="#_x0000_t202" filled="false" stroked="false">
            <v:textbox inset="0,0,0,0" style="layout-flow:vertical;mso-layout-flow-alt:bottom-to-top">
              <w:txbxContent>
                <w:p>
                  <w:pPr>
                    <w:spacing w:before="13"/>
                    <w:ind w:left="20" w:right="0" w:firstLine="0"/>
                    <w:jc w:val="left"/>
                    <w:rPr>
                      <w:rFonts w:ascii="Arial" w:hAnsi="Arial"/>
                      <w:sz w:val="14"/>
                    </w:rPr>
                  </w:pPr>
                  <w:r>
                    <w:rPr>
                      <w:rFonts w:ascii="Arial" w:hAnsi="Arial"/>
                      <w:color w:val="CB4D2C"/>
                      <w:w w:val="105"/>
                      <w:sz w:val="14"/>
                    </w:rPr>
                    <w:t>AFG – NOVEMBER</w:t>
                  </w:r>
                  <w:r>
                    <w:rPr>
                      <w:rFonts w:ascii="Arial" w:hAnsi="Arial"/>
                      <w:color w:val="CB4D2C"/>
                      <w:spacing w:val="-24"/>
                      <w:w w:val="105"/>
                      <w:sz w:val="14"/>
                    </w:rPr>
                    <w:t> </w:t>
                  </w:r>
                  <w:r>
                    <w:rPr>
                      <w:rFonts w:ascii="Arial" w:hAnsi="Arial"/>
                      <w:color w:val="CB4D2C"/>
                      <w:w w:val="105"/>
                      <w:sz w:val="14"/>
                    </w:rPr>
                    <w:t>2020</w:t>
                  </w:r>
                </w:p>
              </w:txbxContent>
            </v:textbox>
            <w10:wrap type="none"/>
          </v:shape>
        </w:pict>
      </w:r>
      <w:r>
        <w:rPr>
          <w:rFonts w:ascii="Arial"/>
          <w:color w:val="FFFFFF"/>
          <w:w w:val="96"/>
          <w:shd w:fill="CB4D2C" w:color="auto" w:val="clear"/>
        </w:rPr>
        <w:t> </w:t>
      </w:r>
      <w:r>
        <w:rPr>
          <w:rFonts w:ascii="Arial"/>
          <w:color w:val="FFFFFF"/>
          <w:shd w:fill="CB4D2C" w:color="auto" w:val="clear"/>
        </w:rPr>
        <w:t> </w:t>
      </w:r>
      <w:r>
        <w:rPr>
          <w:rFonts w:ascii="Arial"/>
          <w:color w:val="FFFFFF"/>
          <w:w w:val="65"/>
          <w:shd w:fill="CB4D2C" w:color="auto" w:val="clear"/>
        </w:rPr>
        <w:t>1</w:t>
      </w:r>
      <w:r>
        <w:rPr>
          <w:rFonts w:ascii="Arial"/>
          <w:color w:val="FFFFFF"/>
          <w:shd w:fill="CB4D2C" w:color="auto" w:val="clear"/>
        </w:rPr>
        <w:t> </w:t>
      </w:r>
    </w:p>
    <w:p>
      <w:pPr>
        <w:pStyle w:val="BodyText"/>
        <w:rPr>
          <w:rFonts w:ascii="Arial"/>
          <w:sz w:val="22"/>
        </w:rPr>
      </w:pPr>
    </w:p>
    <w:p>
      <w:pPr>
        <w:spacing w:before="163"/>
        <w:ind w:left="2067" w:right="0" w:firstLine="0"/>
        <w:jc w:val="left"/>
        <w:rPr>
          <w:rFonts w:ascii="Arial"/>
          <w:sz w:val="40"/>
        </w:rPr>
      </w:pPr>
      <w:r>
        <w:rPr>
          <w:rFonts w:ascii="Arial"/>
          <w:color w:val="F58667"/>
          <w:sz w:val="40"/>
        </w:rPr>
        <w:t>SUMMARY</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0"/>
        <w:rPr>
          <w:rFonts w:ascii="Arial"/>
          <w:sz w:val="15"/>
        </w:rPr>
      </w:pPr>
    </w:p>
    <w:sdt>
      <w:sdtPr>
        <w:docPartObj>
          <w:docPartGallery w:val="Table of Contents"/>
          <w:docPartUnique/>
        </w:docPartObj>
      </w:sdtPr>
      <w:sdtEndPr/>
      <w:sdtContent>
        <w:p>
          <w:pPr>
            <w:pStyle w:val="TOC1"/>
            <w:numPr>
              <w:ilvl w:val="0"/>
              <w:numId w:val="1"/>
            </w:numPr>
            <w:tabs>
              <w:tab w:pos="1472" w:val="left" w:leader="none"/>
              <w:tab w:pos="10194" w:val="right" w:leader="none"/>
            </w:tabs>
            <w:spacing w:line="240" w:lineRule="auto" w:before="89" w:after="0"/>
            <w:ind w:left="1471" w:right="0" w:hanging="235"/>
            <w:jc w:val="left"/>
          </w:pPr>
          <w:hyperlink w:history="true" w:anchor="_TOC_250008">
            <w:r>
              <w:rPr>
                <w:color w:val="CB4D2C"/>
                <w:spacing w:val="3"/>
              </w:rPr>
              <w:t>OBJECTIVES </w:t>
            </w:r>
            <w:r>
              <w:rPr>
                <w:color w:val="CB4D2C"/>
              </w:rPr>
              <w:t>OF</w:t>
            </w:r>
            <w:r>
              <w:rPr>
                <w:color w:val="CB4D2C"/>
                <w:spacing w:val="-7"/>
              </w:rPr>
              <w:t> </w:t>
            </w:r>
            <w:r>
              <w:rPr>
                <w:color w:val="CB4D2C"/>
                <w:spacing w:val="2"/>
              </w:rPr>
              <w:t>THE</w:t>
            </w:r>
            <w:r>
              <w:rPr>
                <w:color w:val="CB4D2C"/>
                <w:spacing w:val="5"/>
              </w:rPr>
              <w:t> </w:t>
            </w:r>
            <w:r>
              <w:rPr>
                <w:color w:val="CB4D2C"/>
                <w:spacing w:val="4"/>
              </w:rPr>
              <w:t>CODE</w:t>
              <w:tab/>
            </w:r>
            <w:r>
              <w:rPr>
                <w:color w:val="CB4D2C"/>
              </w:rPr>
              <w:t>2</w:t>
            </w:r>
          </w:hyperlink>
        </w:p>
        <w:p>
          <w:pPr>
            <w:pStyle w:val="TOC1"/>
            <w:numPr>
              <w:ilvl w:val="0"/>
              <w:numId w:val="1"/>
            </w:numPr>
            <w:tabs>
              <w:tab w:pos="1517" w:val="left" w:leader="none"/>
              <w:tab w:pos="10194" w:val="right" w:leader="none"/>
            </w:tabs>
            <w:spacing w:line="240" w:lineRule="auto" w:before="424" w:after="0"/>
            <w:ind w:left="1516" w:right="0" w:hanging="280"/>
            <w:jc w:val="left"/>
          </w:pPr>
          <w:r>
            <w:rPr/>
            <w:pict>
              <v:line style="position:absolute;mso-position-horizontal-relative:page;mso-position-vertical-relative:paragraph;z-index:15731200" from="78.858299pt,11.750049pt" to="526.732299pt,11.750049pt" stroked="true" strokeweight=".25pt" strokecolor="#8a7967">
                <v:stroke dashstyle="solid"/>
                <w10:wrap type="none"/>
              </v:line>
            </w:pict>
          </w:r>
          <w:hyperlink w:history="true" w:anchor="_TOC_250007">
            <w:r>
              <w:rPr>
                <w:color w:val="CB4D2C"/>
                <w:spacing w:val="3"/>
              </w:rPr>
              <w:t>GENERAL</w:t>
            </w:r>
            <w:r>
              <w:rPr>
                <w:color w:val="CB4D2C"/>
                <w:spacing w:val="-8"/>
              </w:rPr>
              <w:t> </w:t>
            </w:r>
            <w:r>
              <w:rPr>
                <w:color w:val="CB4D2C"/>
                <w:spacing w:val="4"/>
              </w:rPr>
              <w:t>PRINCIPLES</w:t>
              <w:tab/>
            </w:r>
            <w:r>
              <w:rPr>
                <w:color w:val="CB4D2C"/>
              </w:rPr>
              <w:t>2</w:t>
            </w:r>
          </w:hyperlink>
        </w:p>
        <w:p>
          <w:pPr>
            <w:pStyle w:val="TOC1"/>
            <w:numPr>
              <w:ilvl w:val="0"/>
              <w:numId w:val="1"/>
            </w:numPr>
            <w:tabs>
              <w:tab w:pos="1517" w:val="left" w:leader="none"/>
              <w:tab w:pos="10194" w:val="right" w:leader="none"/>
            </w:tabs>
            <w:spacing w:line="240" w:lineRule="auto" w:before="424" w:after="0"/>
            <w:ind w:left="1517" w:right="0" w:hanging="280"/>
            <w:jc w:val="left"/>
          </w:pPr>
          <w:r>
            <w:rPr/>
            <w:pict>
              <v:line style="position:absolute;mso-position-horizontal-relative:page;mso-position-vertical-relative:paragraph;z-index:15731712" from="78.858299pt,11.753982pt" to="526.732299pt,11.753982pt" stroked="true" strokeweight=".25pt" strokecolor="#8a7967">
                <v:stroke dashstyle="solid"/>
                <w10:wrap type="none"/>
              </v:line>
            </w:pict>
          </w:r>
          <w:hyperlink w:history="true" w:anchor="_TOC_250006">
            <w:r>
              <w:rPr>
                <w:color w:val="CB4D2C"/>
                <w:spacing w:val="3"/>
              </w:rPr>
              <w:t>COMMON</w:t>
            </w:r>
            <w:r>
              <w:rPr>
                <w:color w:val="CB4D2C"/>
                <w:spacing w:val="7"/>
              </w:rPr>
              <w:t> </w:t>
            </w:r>
            <w:r>
              <w:rPr>
                <w:color w:val="CB4D2C"/>
                <w:spacing w:val="4"/>
              </w:rPr>
              <w:t>PROVISIONS</w:t>
              <w:tab/>
            </w:r>
            <w:r>
              <w:rPr>
                <w:color w:val="CB4D2C"/>
              </w:rPr>
              <w:t>3</w:t>
            </w:r>
          </w:hyperlink>
        </w:p>
        <w:p>
          <w:pPr>
            <w:pStyle w:val="TOC2"/>
            <w:numPr>
              <w:ilvl w:val="1"/>
              <w:numId w:val="1"/>
            </w:numPr>
            <w:tabs>
              <w:tab w:pos="1894" w:val="left" w:leader="none"/>
              <w:tab w:pos="10194" w:val="right" w:leader="none"/>
            </w:tabs>
            <w:spacing w:line="240" w:lineRule="auto" w:before="344" w:after="0"/>
            <w:ind w:left="1893" w:right="0" w:hanging="374"/>
            <w:jc w:val="left"/>
          </w:pPr>
          <w:r>
            <w:rPr/>
            <w:pict>
              <v:line style="position:absolute;mso-position-horizontal-relative:page;mso-position-vertical-relative:paragraph;z-index:15732224" from="78.858299pt,11.753786pt" to="526.732299pt,11.753786pt" stroked="true" strokeweight=".25pt" strokecolor="#8a7967">
                <v:stroke dashstyle="solid"/>
                <w10:wrap type="none"/>
              </v:line>
            </w:pict>
          </w:r>
          <w:hyperlink w:history="true" w:anchor="_TOC_250005">
            <w:r>
              <w:rPr>
                <w:color w:val="231F20"/>
                <w:spacing w:val="3"/>
                <w:w w:val="115"/>
              </w:rPr>
              <w:t>Calculation</w:t>
            </w:r>
            <w:r>
              <w:rPr>
                <w:color w:val="231F20"/>
                <w:spacing w:val="-4"/>
                <w:w w:val="115"/>
              </w:rPr>
              <w:t> </w:t>
            </w:r>
            <w:r>
              <w:rPr>
                <w:color w:val="231F20"/>
                <w:spacing w:val="4"/>
                <w:w w:val="115"/>
              </w:rPr>
              <w:t>methodology</w:t>
              <w:tab/>
            </w:r>
            <w:r>
              <w:rPr>
                <w:color w:val="231F20"/>
                <w:w w:val="115"/>
              </w:rPr>
              <w:t>3</w:t>
            </w:r>
          </w:hyperlink>
        </w:p>
        <w:p>
          <w:pPr>
            <w:pStyle w:val="TOC2"/>
            <w:numPr>
              <w:ilvl w:val="1"/>
              <w:numId w:val="1"/>
            </w:numPr>
            <w:tabs>
              <w:tab w:pos="1940" w:val="left" w:leader="none"/>
              <w:tab w:pos="10194" w:val="right" w:leader="none"/>
            </w:tabs>
            <w:spacing w:line="240" w:lineRule="auto" w:before="344" w:after="0"/>
            <w:ind w:left="1939" w:right="0" w:hanging="420"/>
            <w:jc w:val="left"/>
          </w:pPr>
          <w:r>
            <w:rPr/>
            <w:pict>
              <v:line style="position:absolute;mso-position-horizontal-relative:page;mso-position-vertical-relative:paragraph;z-index:15732736" from="78.858299pt,11.753629pt" to="526.732299pt,11.753629pt" stroked="true" strokeweight=".25pt" strokecolor="#8a7967">
                <v:stroke dashstyle="solid"/>
                <w10:wrap type="none"/>
              </v:line>
            </w:pict>
          </w:r>
          <w:hyperlink w:history="true" w:anchor="_TOC_250004">
            <w:r>
              <w:rPr>
                <w:color w:val="231F20"/>
                <w:spacing w:val="4"/>
                <w:w w:val="110"/>
              </w:rPr>
              <w:t>Governance</w:t>
              <w:tab/>
            </w:r>
            <w:r>
              <w:rPr>
                <w:color w:val="231F20"/>
                <w:w w:val="110"/>
              </w:rPr>
              <w:t>4</w:t>
            </w:r>
          </w:hyperlink>
        </w:p>
        <w:p>
          <w:pPr>
            <w:pStyle w:val="TOC2"/>
            <w:numPr>
              <w:ilvl w:val="1"/>
              <w:numId w:val="1"/>
            </w:numPr>
            <w:tabs>
              <w:tab w:pos="1940" w:val="left" w:leader="none"/>
              <w:tab w:pos="10194" w:val="right" w:leader="none"/>
            </w:tabs>
            <w:spacing w:line="240" w:lineRule="auto" w:before="344" w:after="0"/>
            <w:ind w:left="1939" w:right="0" w:hanging="420"/>
            <w:jc w:val="left"/>
          </w:pPr>
          <w:r>
            <w:rPr/>
            <w:pict>
              <v:line style="position:absolute;mso-position-horizontal-relative:page;mso-position-vertical-relative:paragraph;z-index:15733248" from="78.858299pt,11.753533pt" to="526.732299pt,11.753533pt" stroked="true" strokeweight=".25pt" strokecolor="#8a7967">
                <v:stroke dashstyle="solid"/>
                <w10:wrap type="none"/>
              </v:line>
            </w:pict>
          </w:r>
          <w:hyperlink w:history="true" w:anchor="_TOC_250003">
            <w:r>
              <w:rPr>
                <w:color w:val="231F20"/>
                <w:spacing w:val="3"/>
                <w:w w:val="110"/>
              </w:rPr>
              <w:t>Preventing </w:t>
            </w:r>
            <w:r>
              <w:rPr>
                <w:color w:val="231F20"/>
                <w:spacing w:val="2"/>
                <w:w w:val="110"/>
              </w:rPr>
              <w:t>and </w:t>
            </w:r>
            <w:r>
              <w:rPr>
                <w:color w:val="231F20"/>
                <w:spacing w:val="3"/>
                <w:w w:val="110"/>
              </w:rPr>
              <w:t>managing conflicts</w:t>
            </w:r>
            <w:r>
              <w:rPr>
                <w:color w:val="231F20"/>
                <w:spacing w:val="-1"/>
                <w:w w:val="110"/>
              </w:rPr>
              <w:t> </w:t>
            </w:r>
            <w:r>
              <w:rPr>
                <w:color w:val="231F20"/>
                <w:w w:val="110"/>
              </w:rPr>
              <w:t>of</w:t>
            </w:r>
            <w:r>
              <w:rPr>
                <w:color w:val="231F20"/>
                <w:spacing w:val="1"/>
                <w:w w:val="110"/>
              </w:rPr>
              <w:t> </w:t>
            </w:r>
            <w:r>
              <w:rPr>
                <w:color w:val="231F20"/>
                <w:spacing w:val="3"/>
                <w:w w:val="110"/>
              </w:rPr>
              <w:t>interest</w:t>
              <w:tab/>
            </w:r>
            <w:r>
              <w:rPr>
                <w:color w:val="231F20"/>
                <w:w w:val="110"/>
              </w:rPr>
              <w:t>4</w:t>
            </w:r>
          </w:hyperlink>
        </w:p>
        <w:p>
          <w:pPr>
            <w:pStyle w:val="TOC2"/>
            <w:numPr>
              <w:ilvl w:val="1"/>
              <w:numId w:val="1"/>
            </w:numPr>
            <w:tabs>
              <w:tab w:pos="1939" w:val="left" w:leader="none"/>
            </w:tabs>
            <w:spacing w:line="240" w:lineRule="auto" w:before="345" w:after="0"/>
            <w:ind w:left="1938" w:right="0" w:hanging="419"/>
            <w:jc w:val="left"/>
          </w:pPr>
          <w:r>
            <w:rPr/>
            <w:pict>
              <v:line style="position:absolute;mso-position-horizontal-relative:page;mso-position-vertical-relative:paragraph;z-index:15733760" from="78.858299pt,11.803469pt" to="526.732299pt,11.803469pt" stroked="true" strokeweight=".25pt" strokecolor="#8a7967">
                <v:stroke dashstyle="solid"/>
                <w10:wrap type="none"/>
              </v:line>
            </w:pict>
          </w:r>
          <w:r>
            <w:rPr>
              <w:color w:val="231F20"/>
              <w:spacing w:val="3"/>
              <w:w w:val="110"/>
            </w:rPr>
            <w:t>Regulatory documents, investor</w:t>
          </w:r>
          <w:r>
            <w:rPr>
              <w:color w:val="231F20"/>
              <w:spacing w:val="-9"/>
              <w:w w:val="110"/>
            </w:rPr>
            <w:t> </w:t>
          </w:r>
          <w:r>
            <w:rPr>
              <w:color w:val="231F20"/>
              <w:spacing w:val="4"/>
              <w:w w:val="110"/>
            </w:rPr>
            <w:t>information</w:t>
          </w:r>
        </w:p>
        <w:p>
          <w:pPr>
            <w:pStyle w:val="TOC3"/>
            <w:tabs>
              <w:tab w:pos="10194" w:val="right" w:leader="none"/>
            </w:tabs>
          </w:pPr>
          <w:r>
            <w:rPr>
              <w:color w:val="231F20"/>
              <w:spacing w:val="2"/>
              <w:w w:val="105"/>
            </w:rPr>
            <w:t>and </w:t>
          </w:r>
          <w:r>
            <w:rPr>
              <w:color w:val="231F20"/>
              <w:spacing w:val="3"/>
              <w:w w:val="105"/>
            </w:rPr>
            <w:t>transition period </w:t>
          </w:r>
          <w:r>
            <w:rPr>
              <w:color w:val="231F20"/>
              <w:spacing w:val="2"/>
              <w:w w:val="105"/>
            </w:rPr>
            <w:t>for</w:t>
          </w:r>
          <w:r>
            <w:rPr>
              <w:color w:val="231F20"/>
              <w:spacing w:val="14"/>
              <w:w w:val="105"/>
            </w:rPr>
            <w:t> </w:t>
          </w:r>
          <w:r>
            <w:rPr>
              <w:color w:val="231F20"/>
              <w:spacing w:val="3"/>
              <w:w w:val="105"/>
            </w:rPr>
            <w:t>existing</w:t>
          </w:r>
          <w:r>
            <w:rPr>
              <w:color w:val="231F20"/>
              <w:spacing w:val="7"/>
              <w:w w:val="105"/>
            </w:rPr>
            <w:t> </w:t>
          </w:r>
          <w:r>
            <w:rPr>
              <w:color w:val="231F20"/>
              <w:spacing w:val="4"/>
              <w:w w:val="105"/>
            </w:rPr>
            <w:t>funds</w:t>
            <w:tab/>
          </w:r>
          <w:r>
            <w:rPr>
              <w:color w:val="231F20"/>
              <w:w w:val="105"/>
            </w:rPr>
            <w:t>5</w:t>
          </w:r>
        </w:p>
        <w:p>
          <w:pPr>
            <w:pStyle w:val="TOC1"/>
            <w:numPr>
              <w:ilvl w:val="0"/>
              <w:numId w:val="1"/>
            </w:numPr>
            <w:tabs>
              <w:tab w:pos="1517" w:val="left" w:leader="none"/>
              <w:tab w:pos="10194" w:val="right" w:leader="none"/>
            </w:tabs>
            <w:spacing w:line="240" w:lineRule="auto" w:before="424" w:after="0"/>
            <w:ind w:left="1516" w:right="0" w:hanging="280"/>
            <w:jc w:val="left"/>
          </w:pPr>
          <w:r>
            <w:rPr/>
            <w:pict>
              <v:line style="position:absolute;mso-position-horizontal-relative:page;mso-position-vertical-relative:paragraph;z-index:15734272" from="78.858299pt,11.753273pt" to="526.732299pt,11.753273pt" stroked="true" strokeweight=".25pt" strokecolor="#8a7967">
                <v:stroke dashstyle="solid"/>
                <w10:wrap type="none"/>
              </v:line>
            </w:pict>
          </w:r>
          <w:r>
            <w:rPr>
              <w:color w:val="CB4D2C"/>
              <w:spacing w:val="3"/>
            </w:rPr>
            <w:t>SPECIAL PROVISIONS GOVERNING</w:t>
          </w:r>
          <w:r>
            <w:rPr>
              <w:color w:val="CB4D2C"/>
              <w:spacing w:val="-10"/>
            </w:rPr>
            <w:t> </w:t>
          </w:r>
          <w:r>
            <w:rPr>
              <w:color w:val="CB4D2C"/>
              <w:spacing w:val="3"/>
            </w:rPr>
            <w:t>SWING </w:t>
          </w:r>
          <w:r>
            <w:rPr>
              <w:color w:val="CB4D2C"/>
              <w:spacing w:val="4"/>
            </w:rPr>
            <w:t>PRICING</w:t>
            <w:tab/>
          </w:r>
          <w:r>
            <w:rPr>
              <w:color w:val="CB4D2C"/>
            </w:rPr>
            <w:t>5</w:t>
          </w:r>
        </w:p>
        <w:p>
          <w:pPr>
            <w:pStyle w:val="TOC2"/>
            <w:numPr>
              <w:ilvl w:val="1"/>
              <w:numId w:val="1"/>
            </w:numPr>
            <w:tabs>
              <w:tab w:pos="1894" w:val="left" w:leader="none"/>
              <w:tab w:pos="10194" w:val="right" w:leader="none"/>
            </w:tabs>
            <w:spacing w:line="240" w:lineRule="auto" w:before="344" w:after="0"/>
            <w:ind w:left="1893" w:right="0" w:hanging="374"/>
            <w:jc w:val="left"/>
          </w:pPr>
          <w:r>
            <w:rPr/>
            <w:pict>
              <v:line style="position:absolute;mso-position-horizontal-relative:page;mso-position-vertical-relative:paragraph;z-index:15734784" from="78.858299pt,11.753147pt" to="526.732299pt,11.753147pt" stroked="true" strokeweight=".25pt" strokecolor="#8a7967">
                <v:stroke dashstyle="solid"/>
                <w10:wrap type="none"/>
              </v:line>
            </w:pict>
          </w:r>
          <w:hyperlink w:history="true" w:anchor="_TOC_250002">
            <w:r>
              <w:rPr>
                <w:color w:val="231F20"/>
                <w:spacing w:val="3"/>
                <w:w w:val="110"/>
              </w:rPr>
              <w:t>Use </w:t>
            </w:r>
            <w:r>
              <w:rPr>
                <w:color w:val="231F20"/>
                <w:w w:val="110"/>
              </w:rPr>
              <w:t>of </w:t>
            </w:r>
            <w:r>
              <w:rPr>
                <w:color w:val="231F20"/>
                <w:spacing w:val="2"/>
                <w:w w:val="110"/>
              </w:rPr>
              <w:t>net </w:t>
            </w:r>
            <w:r>
              <w:rPr>
                <w:color w:val="231F20"/>
                <w:spacing w:val="3"/>
                <w:w w:val="110"/>
              </w:rPr>
              <w:t>asset value</w:t>
            </w:r>
            <w:r>
              <w:rPr>
                <w:color w:val="231F20"/>
                <w:spacing w:val="-13"/>
                <w:w w:val="110"/>
              </w:rPr>
              <w:t> </w:t>
            </w:r>
            <w:r>
              <w:rPr>
                <w:color w:val="231F20"/>
                <w:spacing w:val="2"/>
                <w:w w:val="110"/>
              </w:rPr>
              <w:t>and</w:t>
            </w:r>
            <w:r>
              <w:rPr>
                <w:color w:val="231F20"/>
                <w:spacing w:val="-1"/>
                <w:w w:val="110"/>
              </w:rPr>
              <w:t> </w:t>
            </w:r>
            <w:r>
              <w:rPr>
                <w:color w:val="231F20"/>
                <w:spacing w:val="3"/>
                <w:w w:val="110"/>
              </w:rPr>
              <w:t>disclosure</w:t>
              <w:tab/>
            </w:r>
            <w:r>
              <w:rPr>
                <w:color w:val="231F20"/>
                <w:w w:val="110"/>
              </w:rPr>
              <w:t>5</w:t>
            </w:r>
          </w:hyperlink>
        </w:p>
        <w:p>
          <w:pPr>
            <w:pStyle w:val="TOC2"/>
            <w:numPr>
              <w:ilvl w:val="1"/>
              <w:numId w:val="1"/>
            </w:numPr>
            <w:tabs>
              <w:tab w:pos="1939" w:val="left" w:leader="none"/>
              <w:tab w:pos="10194" w:val="right" w:leader="none"/>
            </w:tabs>
            <w:spacing w:line="240" w:lineRule="auto" w:before="344" w:after="0"/>
            <w:ind w:left="1938" w:right="0" w:hanging="419"/>
            <w:jc w:val="left"/>
          </w:pPr>
          <w:r>
            <w:rPr/>
            <w:pict>
              <v:line style="position:absolute;mso-position-horizontal-relative:page;mso-position-vertical-relative:paragraph;z-index:15735296" from="78.858299pt,11.753051pt" to="526.732299pt,11.753051pt" stroked="true" strokeweight=".25pt" strokecolor="#8a7967">
                <v:stroke dashstyle="solid"/>
                <w10:wrap type="none"/>
              </v:line>
            </w:pict>
          </w:r>
          <w:hyperlink w:history="true" w:anchor="_TOC_250001">
            <w:r>
              <w:rPr>
                <w:color w:val="231F20"/>
                <w:spacing w:val="3"/>
                <w:w w:val="110"/>
              </w:rPr>
              <w:t>Swing</w:t>
            </w:r>
            <w:r>
              <w:rPr>
                <w:color w:val="231F20"/>
                <w:w w:val="110"/>
              </w:rPr>
              <w:t> </w:t>
            </w:r>
            <w:r>
              <w:rPr>
                <w:color w:val="231F20"/>
                <w:spacing w:val="3"/>
                <w:w w:val="110"/>
              </w:rPr>
              <w:t>Pricing</w:t>
            </w:r>
            <w:r>
              <w:rPr>
                <w:color w:val="231F20"/>
                <w:w w:val="110"/>
              </w:rPr>
              <w:t> </w:t>
            </w:r>
            <w:r>
              <w:rPr>
                <w:color w:val="231F20"/>
                <w:spacing w:val="4"/>
                <w:w w:val="110"/>
              </w:rPr>
              <w:t>accounting</w:t>
              <w:tab/>
            </w:r>
            <w:r>
              <w:rPr>
                <w:color w:val="231F20"/>
                <w:w w:val="110"/>
              </w:rPr>
              <w:t>5</w:t>
            </w:r>
          </w:hyperlink>
        </w:p>
        <w:p>
          <w:pPr>
            <w:pStyle w:val="TOC1"/>
            <w:tabs>
              <w:tab w:pos="10194" w:val="right" w:leader="none"/>
            </w:tabs>
            <w:ind w:left="1236" w:firstLine="0"/>
          </w:pPr>
          <w:r>
            <w:rPr/>
            <w:pict>
              <v:line style="position:absolute;mso-position-horizontal-relative:page;mso-position-vertical-relative:paragraph;z-index:15735808" from="78.858299pt,11.756953pt" to="526.732299pt,11.756953pt" stroked="true" strokeweight=".25pt" strokecolor="#8a7967">
                <v:stroke dashstyle="solid"/>
                <w10:wrap type="none"/>
              </v:line>
            </w:pict>
          </w:r>
          <w:r>
            <w:rPr>
              <w:color w:val="CB4D2C"/>
              <w:spacing w:val="4"/>
            </w:rPr>
            <w:t>APPENDIX</w:t>
            <w:tab/>
          </w:r>
          <w:r>
            <w:rPr>
              <w:color w:val="CB4D2C"/>
            </w:rPr>
            <w:t>6</w:t>
          </w:r>
        </w:p>
        <w:p>
          <w:pPr>
            <w:pStyle w:val="TOC2"/>
            <w:tabs>
              <w:tab w:pos="10194" w:val="right" w:leader="none"/>
            </w:tabs>
            <w:ind w:firstLine="0"/>
          </w:pPr>
          <w:r>
            <w:rPr/>
            <w:pict>
              <v:line style="position:absolute;mso-position-horizontal-relative:page;mso-position-vertical-relative:paragraph;z-index:15736320" from="78.858299pt,11.756758pt" to="526.732299pt,11.756758pt" stroked="true" strokeweight=".25pt" strokecolor="#8a7967">
                <v:stroke dashstyle="solid"/>
                <w10:wrap type="none"/>
              </v:line>
            </w:pict>
          </w:r>
          <w:hyperlink w:history="true" w:anchor="_TOC_250000">
            <w:r>
              <w:rPr>
                <w:color w:val="231F20"/>
                <w:spacing w:val="3"/>
              </w:rPr>
              <w:t>Appendix</w:t>
            </w:r>
            <w:r>
              <w:rPr>
                <w:color w:val="231F20"/>
                <w:spacing w:val="8"/>
              </w:rPr>
              <w:t> </w:t>
            </w:r>
            <w:r>
              <w:rPr>
                <w:color w:val="231F20"/>
              </w:rPr>
              <w:t>1.</w:t>
            </w:r>
            <w:r>
              <w:rPr>
                <w:color w:val="231F20"/>
                <w:spacing w:val="8"/>
              </w:rPr>
              <w:t> </w:t>
            </w:r>
            <w:r>
              <w:rPr>
                <w:color w:val="231F20"/>
                <w:spacing w:val="4"/>
              </w:rPr>
              <w:t>Glossary</w:t>
              <w:tab/>
            </w:r>
            <w:r>
              <w:rPr>
                <w:color w:val="231F20"/>
              </w:rPr>
              <w:t>6</w:t>
            </w:r>
          </w:hyperlink>
        </w:p>
        <w:p>
          <w:pPr>
            <w:pStyle w:val="TOC2"/>
            <w:tabs>
              <w:tab w:pos="10194" w:val="right" w:leader="none"/>
            </w:tabs>
            <w:spacing w:before="345"/>
            <w:ind w:firstLine="0"/>
          </w:pPr>
          <w:r>
            <w:rPr/>
            <w:pict>
              <v:line style="position:absolute;mso-position-horizontal-relative:page;mso-position-vertical-relative:paragraph;z-index:15736832" from="78.858299pt,11.806662pt" to="526.732299pt,11.806662pt" stroked="true" strokeweight=".25pt" strokecolor="#8a7967">
                <v:stroke dashstyle="solid"/>
                <w10:wrap type="none"/>
              </v:line>
            </w:pict>
          </w:r>
          <w:r>
            <w:rPr>
              <w:color w:val="231F20"/>
              <w:spacing w:val="3"/>
              <w:w w:val="110"/>
            </w:rPr>
            <w:t>Appendix </w:t>
          </w:r>
          <w:r>
            <w:rPr>
              <w:color w:val="231F20"/>
              <w:w w:val="110"/>
            </w:rPr>
            <w:t>2. </w:t>
          </w:r>
          <w:r>
            <w:rPr>
              <w:color w:val="231F20"/>
              <w:spacing w:val="3"/>
              <w:w w:val="110"/>
            </w:rPr>
            <w:t>Examples</w:t>
          </w:r>
          <w:r>
            <w:rPr>
              <w:color w:val="231F20"/>
              <w:w w:val="110"/>
            </w:rPr>
            <w:t> of</w:t>
          </w:r>
          <w:r>
            <w:rPr>
              <w:color w:val="231F20"/>
              <w:spacing w:val="1"/>
              <w:w w:val="110"/>
            </w:rPr>
            <w:t> </w:t>
          </w:r>
          <w:r>
            <w:rPr>
              <w:color w:val="231F20"/>
              <w:spacing w:val="4"/>
              <w:w w:val="110"/>
            </w:rPr>
            <w:t>calculation</w:t>
            <w:tab/>
          </w:r>
          <w:r>
            <w:rPr>
              <w:color w:val="231F20"/>
              <w:w w:val="110"/>
            </w:rPr>
            <w:t>6</w:t>
          </w:r>
        </w:p>
      </w:sdtContent>
    </w:sdt>
    <w:p>
      <w:pPr>
        <w:pStyle w:val="BodyText"/>
        <w:spacing w:before="9"/>
        <w:rPr>
          <w:rFonts w:ascii="Arial"/>
          <w:sz w:val="16"/>
        </w:rPr>
      </w:pPr>
      <w:r>
        <w:rPr/>
        <w:pict>
          <v:shape style="position:absolute;margin-left:78.858299pt;margin-top:11.762249pt;width:447.9pt;height:.1pt;mso-position-horizontal-relative:page;mso-position-vertical-relative:paragraph;z-index:-15726592;mso-wrap-distance-left:0;mso-wrap-distance-right:0" coordorigin="1577,235" coordsize="8958,0" path="m1577,235l10535,235e" filled="false" stroked="true" strokeweight=".25pt" strokecolor="#8a7967">
            <v:path arrowok="t"/>
            <v:stroke dashstyle="solid"/>
            <w10:wrap type="topAndBottom"/>
          </v:shape>
        </w:pict>
      </w:r>
    </w:p>
    <w:p>
      <w:pPr>
        <w:spacing w:after="0"/>
        <w:rPr>
          <w:rFonts w:ascii="Arial"/>
          <w:sz w:val="16"/>
        </w:rPr>
        <w:sectPr>
          <w:pgSz w:w="11910" w:h="16840"/>
          <w:pgMar w:top="380" w:bottom="280" w:left="340" w:right="360"/>
        </w:sectPr>
      </w:pPr>
    </w:p>
    <w:p>
      <w:pPr>
        <w:pStyle w:val="BodyText"/>
        <w:spacing w:before="77"/>
        <w:ind w:left="113"/>
        <w:rPr>
          <w:rFonts w:ascii="Arial"/>
        </w:rPr>
      </w:pPr>
      <w:r>
        <w:rPr/>
        <w:pict>
          <v:line style="position:absolute;mso-position-horizontal-relative:page;mso-position-vertical-relative:paragraph;z-index:15738368" from="63.153198pt,14.09569pt" to="63.153198pt,42.44169pt" stroked="true" strokeweight="2pt" strokecolor="#cb4d2c">
            <v:stroke dashstyle="solid"/>
            <w10:wrap type="none"/>
          </v:line>
        </w:pict>
      </w:r>
      <w:r>
        <w:rPr>
          <w:rFonts w:ascii="Arial"/>
          <w:color w:val="FFFFFF"/>
          <w:w w:val="96"/>
          <w:shd w:fill="CB4D2C" w:color="auto" w:val="clear"/>
        </w:rPr>
        <w:t> </w:t>
      </w:r>
      <w:r>
        <w:rPr>
          <w:rFonts w:ascii="Arial"/>
          <w:color w:val="FFFFFF"/>
          <w:shd w:fill="CB4D2C" w:color="auto" w:val="clear"/>
        </w:rPr>
        <w:t> 2 </w:t>
      </w:r>
    </w:p>
    <w:p>
      <w:pPr>
        <w:pStyle w:val="Heading1"/>
        <w:numPr>
          <w:ilvl w:val="0"/>
          <w:numId w:val="2"/>
        </w:numPr>
        <w:tabs>
          <w:tab w:pos="1456" w:val="left" w:leader="none"/>
        </w:tabs>
        <w:spacing w:line="235" w:lineRule="auto" w:before="68" w:after="0"/>
        <w:ind w:left="1455" w:right="1908" w:hanging="293"/>
        <w:jc w:val="left"/>
      </w:pPr>
      <w:r>
        <w:rPr/>
        <w:pict>
          <v:shape style="position:absolute;margin-left:24.816307pt;margin-top:6.193893pt;width:9.8pt;height:84.7pt;mso-position-horizontal-relative:page;mso-position-vertical-relative:paragraph;z-index:15741440" type="#_x0000_t202" filled="false" stroked="false">
            <v:textbox inset="0,0,0,0" style="layout-flow:vertical;mso-layout-flow-alt:bottom-to-top">
              <w:txbxContent>
                <w:p>
                  <w:pPr>
                    <w:spacing w:before="13"/>
                    <w:ind w:left="20" w:right="0" w:firstLine="0"/>
                    <w:jc w:val="left"/>
                    <w:rPr>
                      <w:rFonts w:ascii="Arial" w:hAnsi="Arial"/>
                      <w:sz w:val="14"/>
                    </w:rPr>
                  </w:pPr>
                  <w:r>
                    <w:rPr>
                      <w:rFonts w:ascii="Arial" w:hAnsi="Arial"/>
                      <w:color w:val="CB4D2C"/>
                      <w:w w:val="105"/>
                      <w:sz w:val="14"/>
                    </w:rPr>
                    <w:t>AFG – NOVEMBER</w:t>
                  </w:r>
                  <w:r>
                    <w:rPr>
                      <w:rFonts w:ascii="Arial" w:hAnsi="Arial"/>
                      <w:color w:val="CB4D2C"/>
                      <w:spacing w:val="-24"/>
                      <w:w w:val="105"/>
                      <w:sz w:val="14"/>
                    </w:rPr>
                    <w:t> </w:t>
                  </w:r>
                  <w:r>
                    <w:rPr>
                      <w:rFonts w:ascii="Arial" w:hAnsi="Arial"/>
                      <w:color w:val="CB4D2C"/>
                      <w:w w:val="105"/>
                      <w:sz w:val="14"/>
                    </w:rPr>
                    <w:t>2020</w:t>
                  </w:r>
                </w:p>
              </w:txbxContent>
            </v:textbox>
            <w10:wrap type="none"/>
          </v:shape>
        </w:pict>
      </w:r>
      <w:bookmarkStart w:name="_TOC_250008" w:id="1"/>
      <w:r>
        <w:rPr>
          <w:color w:val="CB4D2C"/>
        </w:rPr>
        <w:t>OBJECTIVES OF</w:t>
      </w:r>
      <w:r>
        <w:rPr>
          <w:color w:val="CB4D2C"/>
          <w:spacing w:val="-46"/>
        </w:rPr>
        <w:t> </w:t>
      </w:r>
      <w:r>
        <w:rPr>
          <w:color w:val="CB4D2C"/>
        </w:rPr>
        <w:t>THE</w:t>
      </w:r>
      <w:r>
        <w:rPr>
          <w:color w:val="CB4D2C"/>
          <w:spacing w:val="-34"/>
        </w:rPr>
        <w:t> </w:t>
      </w:r>
      <w:bookmarkEnd w:id="1"/>
      <w:r>
        <w:rPr>
          <w:color w:val="CB4D2C"/>
          <w:spacing w:val="-4"/>
        </w:rPr>
        <w:t>CODE</w:t>
      </w:r>
    </w:p>
    <w:p>
      <w:pPr>
        <w:pStyle w:val="BodyText"/>
        <w:rPr>
          <w:rFonts w:ascii="Arial"/>
          <w:sz w:val="30"/>
        </w:rPr>
      </w:pPr>
    </w:p>
    <w:p>
      <w:pPr>
        <w:pStyle w:val="BodyText"/>
        <w:spacing w:line="268" w:lineRule="auto"/>
        <w:ind w:left="935" w:right="38"/>
        <w:jc w:val="both"/>
      </w:pPr>
      <w:r>
        <w:rPr>
          <w:color w:val="231F20"/>
        </w:rPr>
        <w:t>The</w:t>
      </w:r>
      <w:r>
        <w:rPr>
          <w:color w:val="231F20"/>
          <w:spacing w:val="-7"/>
        </w:rPr>
        <w:t> </w:t>
      </w:r>
      <w:r>
        <w:rPr>
          <w:color w:val="231F20"/>
        </w:rPr>
        <w:t>purpose</w:t>
      </w:r>
      <w:r>
        <w:rPr>
          <w:color w:val="231F20"/>
          <w:spacing w:val="-6"/>
        </w:rPr>
        <w:t> </w:t>
      </w:r>
      <w:r>
        <w:rPr>
          <w:color w:val="231F20"/>
        </w:rPr>
        <w:t>of</w:t>
      </w:r>
      <w:r>
        <w:rPr>
          <w:color w:val="231F20"/>
          <w:spacing w:val="-6"/>
        </w:rPr>
        <w:t> </w:t>
      </w:r>
      <w:r>
        <w:rPr>
          <w:color w:val="231F20"/>
        </w:rPr>
        <w:t>this</w:t>
      </w:r>
      <w:r>
        <w:rPr>
          <w:color w:val="231F20"/>
          <w:spacing w:val="-7"/>
        </w:rPr>
        <w:t> </w:t>
      </w:r>
      <w:r>
        <w:rPr>
          <w:color w:val="231F20"/>
        </w:rPr>
        <w:t>Code</w:t>
      </w:r>
      <w:r>
        <w:rPr>
          <w:color w:val="231F20"/>
          <w:spacing w:val="-6"/>
        </w:rPr>
        <w:t> </w:t>
      </w:r>
      <w:r>
        <w:rPr>
          <w:color w:val="231F20"/>
        </w:rPr>
        <w:t>is</w:t>
      </w:r>
      <w:r>
        <w:rPr>
          <w:color w:val="231F20"/>
          <w:spacing w:val="-6"/>
        </w:rPr>
        <w:t> </w:t>
      </w:r>
      <w:r>
        <w:rPr>
          <w:color w:val="231F20"/>
        </w:rPr>
        <w:t>to</w:t>
      </w:r>
      <w:r>
        <w:rPr>
          <w:color w:val="231F20"/>
          <w:spacing w:val="-7"/>
        </w:rPr>
        <w:t> </w:t>
      </w:r>
      <w:r>
        <w:rPr>
          <w:color w:val="231F20"/>
        </w:rPr>
        <w:t>define</w:t>
      </w:r>
      <w:r>
        <w:rPr>
          <w:color w:val="231F20"/>
          <w:spacing w:val="-6"/>
        </w:rPr>
        <w:t> </w:t>
      </w:r>
      <w:r>
        <w:rPr>
          <w:color w:val="231F20"/>
        </w:rPr>
        <w:t>and</w:t>
      </w:r>
      <w:r>
        <w:rPr>
          <w:color w:val="231F20"/>
          <w:spacing w:val="-6"/>
        </w:rPr>
        <w:t> </w:t>
      </w:r>
      <w:r>
        <w:rPr>
          <w:color w:val="231F20"/>
        </w:rPr>
        <w:t>promote standards on the use of Swing Pricing and varia- ble anti dilution levies</w:t>
      </w:r>
      <w:r>
        <w:rPr>
          <w:color w:val="231F20"/>
          <w:spacing w:val="15"/>
        </w:rPr>
        <w:t> </w:t>
      </w:r>
      <w:r>
        <w:rPr>
          <w:color w:val="231F20"/>
        </w:rPr>
        <w:t>(ADL).</w:t>
      </w:r>
    </w:p>
    <w:p>
      <w:pPr>
        <w:pStyle w:val="BodyText"/>
        <w:spacing w:line="268" w:lineRule="auto" w:before="170"/>
        <w:ind w:left="1086" w:right="40"/>
        <w:jc w:val="both"/>
      </w:pPr>
      <w:r>
        <w:rPr/>
        <w:pict>
          <v:rect style="position:absolute;margin-left:63.779999pt;margin-top:12.991926pt;width:3.898pt;height:3.898pt;mso-position-horizontal-relative:page;mso-position-vertical-relative:paragraph;z-index:15739392" filled="true" fillcolor="#cb4d2c" stroked="false">
            <v:fill type="solid"/>
            <w10:wrap type="none"/>
          </v:rect>
        </w:pict>
      </w:r>
      <w:r>
        <w:rPr>
          <w:b/>
          <w:color w:val="231F20"/>
          <w:spacing w:val="-3"/>
        </w:rPr>
        <w:t>Swing </w:t>
      </w:r>
      <w:r>
        <w:rPr>
          <w:b/>
          <w:color w:val="231F20"/>
        </w:rPr>
        <w:t>Pricing </w:t>
      </w:r>
      <w:r>
        <w:rPr>
          <w:color w:val="231F20"/>
        </w:rPr>
        <w:t>is a </w:t>
      </w:r>
      <w:r>
        <w:rPr>
          <w:color w:val="231F20"/>
          <w:spacing w:val="-3"/>
        </w:rPr>
        <w:t>mechanism </w:t>
      </w:r>
      <w:r>
        <w:rPr>
          <w:color w:val="231F20"/>
        </w:rPr>
        <w:t>by </w:t>
      </w:r>
      <w:r>
        <w:rPr>
          <w:color w:val="231F20"/>
          <w:spacing w:val="-3"/>
        </w:rPr>
        <w:t>which </w:t>
      </w:r>
      <w:r>
        <w:rPr>
          <w:color w:val="231F20"/>
        </w:rPr>
        <w:t>the </w:t>
      </w:r>
      <w:r>
        <w:rPr>
          <w:color w:val="231F20"/>
          <w:spacing w:val="-3"/>
        </w:rPr>
        <w:t>net asset </w:t>
      </w:r>
      <w:r>
        <w:rPr>
          <w:color w:val="231F20"/>
        </w:rPr>
        <w:t>value is </w:t>
      </w:r>
      <w:r>
        <w:rPr>
          <w:color w:val="231F20"/>
          <w:spacing w:val="-3"/>
        </w:rPr>
        <w:t>adjusted upwards </w:t>
      </w:r>
      <w:r>
        <w:rPr>
          <w:color w:val="231F20"/>
        </w:rPr>
        <w:t>(or </w:t>
      </w:r>
      <w:r>
        <w:rPr>
          <w:color w:val="231F20"/>
          <w:spacing w:val="-3"/>
        </w:rPr>
        <w:t>downwards) </w:t>
      </w:r>
      <w:r>
        <w:rPr>
          <w:color w:val="231F20"/>
        </w:rPr>
        <w:t>if</w:t>
      </w:r>
      <w:r>
        <w:rPr>
          <w:color w:val="231F20"/>
          <w:spacing w:val="-13"/>
        </w:rPr>
        <w:t> </w:t>
      </w:r>
      <w:r>
        <w:rPr>
          <w:color w:val="231F20"/>
        </w:rPr>
        <w:t>the</w:t>
      </w:r>
      <w:r>
        <w:rPr>
          <w:color w:val="231F20"/>
          <w:spacing w:val="-13"/>
        </w:rPr>
        <w:t> </w:t>
      </w:r>
      <w:r>
        <w:rPr>
          <w:color w:val="231F20"/>
          <w:spacing w:val="-3"/>
        </w:rPr>
        <w:t>change</w:t>
      </w:r>
      <w:r>
        <w:rPr>
          <w:color w:val="231F20"/>
          <w:spacing w:val="-13"/>
        </w:rPr>
        <w:t> </w:t>
      </w:r>
      <w:r>
        <w:rPr>
          <w:color w:val="231F20"/>
        </w:rPr>
        <w:t>in</w:t>
      </w:r>
      <w:r>
        <w:rPr>
          <w:color w:val="231F20"/>
          <w:spacing w:val="-13"/>
        </w:rPr>
        <w:t> </w:t>
      </w:r>
      <w:r>
        <w:rPr>
          <w:color w:val="231F20"/>
        </w:rPr>
        <w:t>liabilities</w:t>
      </w:r>
      <w:r>
        <w:rPr>
          <w:color w:val="231F20"/>
          <w:spacing w:val="-13"/>
        </w:rPr>
        <w:t> </w:t>
      </w:r>
      <w:r>
        <w:rPr>
          <w:color w:val="231F20"/>
        </w:rPr>
        <w:t>is</w:t>
      </w:r>
      <w:r>
        <w:rPr>
          <w:color w:val="231F20"/>
          <w:spacing w:val="-13"/>
        </w:rPr>
        <w:t> </w:t>
      </w:r>
      <w:r>
        <w:rPr>
          <w:color w:val="231F20"/>
          <w:spacing w:val="-3"/>
        </w:rPr>
        <w:t>positive</w:t>
      </w:r>
      <w:r>
        <w:rPr>
          <w:color w:val="231F20"/>
          <w:spacing w:val="-13"/>
        </w:rPr>
        <w:t> </w:t>
      </w:r>
      <w:r>
        <w:rPr>
          <w:color w:val="231F20"/>
        </w:rPr>
        <w:t>(or</w:t>
      </w:r>
      <w:r>
        <w:rPr>
          <w:color w:val="231F20"/>
          <w:spacing w:val="-13"/>
        </w:rPr>
        <w:t> </w:t>
      </w:r>
      <w:r>
        <w:rPr>
          <w:color w:val="231F20"/>
          <w:spacing w:val="-3"/>
        </w:rPr>
        <w:t>negative) </w:t>
      </w:r>
      <w:r>
        <w:rPr>
          <w:color w:val="231F20"/>
        </w:rPr>
        <w:t>in such a way as to reduce for </w:t>
      </w:r>
      <w:r>
        <w:rPr>
          <w:color w:val="231F20"/>
          <w:spacing w:val="-3"/>
        </w:rPr>
        <w:t>existing investors </w:t>
      </w:r>
      <w:r>
        <w:rPr>
          <w:color w:val="231F20"/>
        </w:rPr>
        <w:t>the </w:t>
      </w:r>
      <w:r>
        <w:rPr>
          <w:color w:val="231F20"/>
          <w:spacing w:val="-3"/>
        </w:rPr>
        <w:t>portfolio </w:t>
      </w:r>
      <w:r>
        <w:rPr>
          <w:color w:val="231F20"/>
        </w:rPr>
        <w:t>restructuring </w:t>
      </w:r>
      <w:r>
        <w:rPr>
          <w:color w:val="231F20"/>
          <w:spacing w:val="-3"/>
        </w:rPr>
        <w:t>costs </w:t>
      </w:r>
      <w:r>
        <w:rPr>
          <w:color w:val="231F20"/>
        </w:rPr>
        <w:t>linked </w:t>
      </w:r>
      <w:r>
        <w:rPr>
          <w:color w:val="231F20"/>
          <w:spacing w:val="-3"/>
        </w:rPr>
        <w:t>to </w:t>
      </w:r>
      <w:r>
        <w:rPr>
          <w:color w:val="231F20"/>
        </w:rPr>
        <w:t>subscription</w:t>
      </w:r>
      <w:r>
        <w:rPr>
          <w:color w:val="231F20"/>
          <w:spacing w:val="-46"/>
        </w:rPr>
        <w:t> </w:t>
      </w:r>
      <w:r>
        <w:rPr>
          <w:color w:val="231F20"/>
        </w:rPr>
        <w:t>/</w:t>
      </w:r>
      <w:r>
        <w:rPr>
          <w:color w:val="231F20"/>
          <w:spacing w:val="-45"/>
        </w:rPr>
        <w:t> </w:t>
      </w:r>
      <w:r>
        <w:rPr>
          <w:color w:val="231F20"/>
        </w:rPr>
        <w:t>redemption</w:t>
      </w:r>
      <w:r>
        <w:rPr>
          <w:color w:val="231F20"/>
          <w:spacing w:val="-28"/>
        </w:rPr>
        <w:t> </w:t>
      </w:r>
      <w:r>
        <w:rPr>
          <w:color w:val="231F20"/>
          <w:spacing w:val="-3"/>
        </w:rPr>
        <w:t>movements</w:t>
      </w:r>
      <w:r>
        <w:rPr>
          <w:color w:val="231F20"/>
          <w:spacing w:val="-28"/>
        </w:rPr>
        <w:t> </w:t>
      </w:r>
      <w:r>
        <w:rPr>
          <w:color w:val="231F20"/>
        </w:rPr>
        <w:t>in</w:t>
      </w:r>
      <w:r>
        <w:rPr>
          <w:color w:val="231F20"/>
          <w:spacing w:val="-28"/>
        </w:rPr>
        <w:t> </w:t>
      </w:r>
      <w:r>
        <w:rPr>
          <w:color w:val="231F20"/>
        </w:rPr>
        <w:t>the</w:t>
      </w:r>
      <w:r>
        <w:rPr>
          <w:color w:val="231F20"/>
          <w:spacing w:val="-28"/>
        </w:rPr>
        <w:t> </w:t>
      </w:r>
      <w:r>
        <w:rPr>
          <w:color w:val="231F20"/>
        </w:rPr>
        <w:t>fund.</w:t>
      </w:r>
    </w:p>
    <w:p>
      <w:pPr>
        <w:spacing w:line="268" w:lineRule="auto" w:before="56"/>
        <w:ind w:left="1086" w:right="39" w:firstLine="0"/>
        <w:jc w:val="both"/>
        <w:rPr>
          <w:sz w:val="20"/>
        </w:rPr>
      </w:pPr>
      <w:r>
        <w:rPr/>
        <w:pict>
          <v:rect style="position:absolute;margin-left:63.779999pt;margin-top:7.291332pt;width:3.898pt;height:3.898pt;mso-position-horizontal-relative:page;mso-position-vertical-relative:paragraph;z-index:15739904" filled="true" fillcolor="#cb4d2c" stroked="false">
            <v:fill type="solid"/>
            <w10:wrap type="none"/>
          </v:rect>
        </w:pict>
      </w:r>
      <w:r>
        <w:rPr>
          <w:b/>
          <w:color w:val="231F20"/>
          <w:sz w:val="20"/>
        </w:rPr>
        <w:t>The variable anti dilution </w:t>
      </w:r>
      <w:r>
        <w:rPr>
          <w:color w:val="231F20"/>
          <w:sz w:val="20"/>
        </w:rPr>
        <w:t>levies (hereafter ADLs)  allow  adjusting  entry  and  exit</w:t>
      </w:r>
      <w:r>
        <w:rPr>
          <w:color w:val="231F20"/>
          <w:spacing w:val="16"/>
          <w:sz w:val="20"/>
        </w:rPr>
        <w:t> </w:t>
      </w:r>
      <w:r>
        <w:rPr>
          <w:color w:val="231F20"/>
          <w:sz w:val="20"/>
        </w:rPr>
        <w:t>charges</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68" w:lineRule="auto" w:before="155"/>
        <w:ind w:left="264" w:right="911"/>
        <w:jc w:val="both"/>
      </w:pPr>
      <w:r>
        <w:rPr>
          <w:color w:val="231F20"/>
        </w:rPr>
        <w:t>upwards (or downwards) if the change in fund liabilities</w:t>
      </w:r>
      <w:r>
        <w:rPr>
          <w:color w:val="231F20"/>
          <w:spacing w:val="-14"/>
        </w:rPr>
        <w:t> </w:t>
      </w:r>
      <w:r>
        <w:rPr>
          <w:color w:val="231F20"/>
        </w:rPr>
        <w:t>is</w:t>
      </w:r>
      <w:r>
        <w:rPr>
          <w:color w:val="231F20"/>
          <w:spacing w:val="-14"/>
        </w:rPr>
        <w:t> </w:t>
      </w:r>
      <w:r>
        <w:rPr>
          <w:color w:val="231F20"/>
        </w:rPr>
        <w:t>positive</w:t>
      </w:r>
      <w:r>
        <w:rPr>
          <w:color w:val="231F20"/>
          <w:spacing w:val="-14"/>
        </w:rPr>
        <w:t> </w:t>
      </w:r>
      <w:r>
        <w:rPr>
          <w:color w:val="231F20"/>
        </w:rPr>
        <w:t>(or</w:t>
      </w:r>
      <w:r>
        <w:rPr>
          <w:color w:val="231F20"/>
          <w:spacing w:val="-14"/>
        </w:rPr>
        <w:t> </w:t>
      </w:r>
      <w:r>
        <w:rPr>
          <w:color w:val="231F20"/>
        </w:rPr>
        <w:t>negative)</w:t>
      </w:r>
      <w:r>
        <w:rPr>
          <w:color w:val="231F20"/>
          <w:spacing w:val="-14"/>
        </w:rPr>
        <w:t> </w:t>
      </w:r>
      <w:r>
        <w:rPr>
          <w:color w:val="231F20"/>
        </w:rPr>
        <w:t>so</w:t>
      </w:r>
      <w:r>
        <w:rPr>
          <w:color w:val="231F20"/>
          <w:spacing w:val="-15"/>
        </w:rPr>
        <w:t> </w:t>
      </w:r>
      <w:r>
        <w:rPr>
          <w:color w:val="231F20"/>
        </w:rPr>
        <w:t>as</w:t>
      </w:r>
      <w:r>
        <w:rPr>
          <w:color w:val="231F20"/>
          <w:spacing w:val="-14"/>
        </w:rPr>
        <w:t> </w:t>
      </w:r>
      <w:r>
        <w:rPr>
          <w:color w:val="231F20"/>
        </w:rPr>
        <w:t>to</w:t>
      </w:r>
      <w:r>
        <w:rPr>
          <w:color w:val="231F20"/>
          <w:spacing w:val="-14"/>
        </w:rPr>
        <w:t> </w:t>
      </w:r>
      <w:r>
        <w:rPr>
          <w:color w:val="231F20"/>
        </w:rPr>
        <w:t>reduce for existing investors the portfolio restructuring costs linked to subscription / redemption move- ments in the</w:t>
      </w:r>
      <w:r>
        <w:rPr>
          <w:color w:val="231F20"/>
          <w:spacing w:val="-4"/>
        </w:rPr>
        <w:t> </w:t>
      </w:r>
      <w:r>
        <w:rPr>
          <w:color w:val="231F20"/>
        </w:rPr>
        <w:t>fund.</w:t>
      </w:r>
    </w:p>
    <w:p>
      <w:pPr>
        <w:pStyle w:val="BodyText"/>
        <w:spacing w:line="268" w:lineRule="auto" w:before="113"/>
        <w:ind w:left="113" w:right="913"/>
        <w:jc w:val="both"/>
      </w:pPr>
      <w:r>
        <w:rPr>
          <w:color w:val="231F20"/>
        </w:rPr>
        <w:t>These two mechanisms help reinforce fair treat- ment of investors.</w:t>
      </w:r>
    </w:p>
    <w:p>
      <w:pPr>
        <w:pStyle w:val="BodyText"/>
        <w:spacing w:line="268" w:lineRule="auto" w:before="113"/>
        <w:ind w:left="113" w:right="915"/>
        <w:jc w:val="both"/>
      </w:pPr>
      <w:r>
        <w:rPr>
          <w:color w:val="231F20"/>
        </w:rPr>
        <w:t>The Code applies to all collective investment schemes – i.e. UCITS and AIFs – for which the management company (AFG member) has</w:t>
      </w:r>
      <w:r>
        <w:rPr>
          <w:color w:val="231F20"/>
          <w:spacing w:val="-45"/>
        </w:rPr>
        <w:t> </w:t>
      </w:r>
      <w:r>
        <w:rPr>
          <w:color w:val="231F20"/>
        </w:rPr>
        <w:t>decided to implement these</w:t>
      </w:r>
      <w:r>
        <w:rPr>
          <w:color w:val="231F20"/>
          <w:spacing w:val="-6"/>
        </w:rPr>
        <w:t> </w:t>
      </w:r>
      <w:r>
        <w:rPr>
          <w:color w:val="231F20"/>
        </w:rPr>
        <w:t>mechanisms.</w:t>
      </w:r>
    </w:p>
    <w:p>
      <w:pPr>
        <w:spacing w:after="0" w:line="268" w:lineRule="auto"/>
        <w:jc w:val="both"/>
        <w:sectPr>
          <w:pgSz w:w="11910" w:h="16840"/>
          <w:pgMar w:top="380" w:bottom="280" w:left="340" w:right="360"/>
          <w:cols w:num="2" w:equalWidth="0">
            <w:col w:w="5467" w:space="219"/>
            <w:col w:w="5524"/>
          </w:cols>
        </w:sectPr>
      </w:pPr>
    </w:p>
    <w:p>
      <w:pPr>
        <w:pStyle w:val="BodyText"/>
      </w:pPr>
    </w:p>
    <w:p>
      <w:pPr>
        <w:pStyle w:val="BodyText"/>
      </w:pPr>
    </w:p>
    <w:p>
      <w:pPr>
        <w:pStyle w:val="BodyText"/>
      </w:pPr>
    </w:p>
    <w:p>
      <w:pPr>
        <w:pStyle w:val="BodyText"/>
      </w:pPr>
    </w:p>
    <w:p>
      <w:pPr>
        <w:pStyle w:val="BodyText"/>
      </w:pPr>
    </w:p>
    <w:p>
      <w:pPr>
        <w:pStyle w:val="BodyText"/>
        <w:spacing w:before="6"/>
        <w:rPr>
          <w:sz w:val="21"/>
        </w:rPr>
      </w:pPr>
    </w:p>
    <w:p>
      <w:pPr>
        <w:pStyle w:val="Heading1"/>
        <w:numPr>
          <w:ilvl w:val="0"/>
          <w:numId w:val="2"/>
        </w:numPr>
        <w:tabs>
          <w:tab w:pos="1516" w:val="left" w:leader="none"/>
        </w:tabs>
        <w:spacing w:line="240" w:lineRule="auto" w:before="85" w:after="0"/>
        <w:ind w:left="1515" w:right="0" w:hanging="354"/>
        <w:jc w:val="left"/>
      </w:pPr>
      <w:r>
        <w:rPr/>
        <w:pict>
          <v:line style="position:absolute;mso-position-horizontal-relative:page;mso-position-vertical-relative:paragraph;z-index:15738880" from="61.153198pt,-2.208089pt" to="61.153198pt,28.972911pt" stroked="true" strokeweight="2pt" strokecolor="#cb4d2c">
            <v:stroke dashstyle="solid"/>
            <w10:wrap type="none"/>
          </v:line>
        </w:pict>
      </w:r>
      <w:bookmarkStart w:name="_TOC_250007" w:id="2"/>
      <w:r>
        <w:rPr>
          <w:color w:val="CB4D2C"/>
        </w:rPr>
        <w:t>GENERAL</w:t>
      </w:r>
      <w:r>
        <w:rPr>
          <w:color w:val="CB4D2C"/>
          <w:spacing w:val="-24"/>
        </w:rPr>
        <w:t> </w:t>
      </w:r>
      <w:bookmarkEnd w:id="2"/>
      <w:r>
        <w:rPr>
          <w:color w:val="CB4D2C"/>
        </w:rPr>
        <w:t>PRINCIPLES</w:t>
      </w:r>
    </w:p>
    <w:p>
      <w:pPr>
        <w:pStyle w:val="BodyText"/>
        <w:spacing w:before="3"/>
        <w:rPr>
          <w:rFonts w:ascii="Arial"/>
          <w:sz w:val="21"/>
        </w:rPr>
      </w:pPr>
    </w:p>
    <w:p>
      <w:pPr>
        <w:spacing w:after="0"/>
        <w:rPr>
          <w:rFonts w:ascii="Arial"/>
          <w:sz w:val="21"/>
        </w:rPr>
        <w:sectPr>
          <w:type w:val="continuous"/>
          <w:pgSz w:w="11910" w:h="16840"/>
          <w:pgMar w:top="1580" w:bottom="280" w:left="340" w:right="360"/>
        </w:sectPr>
      </w:pPr>
    </w:p>
    <w:p>
      <w:pPr>
        <w:pStyle w:val="BodyText"/>
        <w:spacing w:line="268" w:lineRule="auto" w:before="100"/>
        <w:ind w:left="935"/>
        <w:jc w:val="both"/>
      </w:pPr>
      <w:r>
        <w:rPr>
          <w:color w:val="231F20"/>
        </w:rPr>
        <w:t>Swing Pricing and ADLs are mechanisms aimed at reducing the costs to remaining holders of units or shares in collective investment schemes of re- adjusting portfolios as a result of subscriptions or redemptions, by allocating some or all of those costs to subscribing and / or redeeming</w:t>
      </w:r>
      <w:r>
        <w:rPr>
          <w:color w:val="231F20"/>
          <w:spacing w:val="1"/>
        </w:rPr>
        <w:t> </w:t>
      </w:r>
      <w:r>
        <w:rPr>
          <w:color w:val="231F20"/>
        </w:rPr>
        <w:t>investors.</w:t>
      </w:r>
    </w:p>
    <w:p>
      <w:pPr>
        <w:pStyle w:val="BodyText"/>
        <w:spacing w:line="268" w:lineRule="auto" w:before="113"/>
        <w:ind w:left="935" w:right="1"/>
        <w:jc w:val="both"/>
      </w:pPr>
      <w:r>
        <w:rPr>
          <w:color w:val="231F20"/>
        </w:rPr>
        <w:t>They are intended for use under normal market conditions.</w:t>
      </w:r>
    </w:p>
    <w:p>
      <w:pPr>
        <w:pStyle w:val="BodyText"/>
        <w:spacing w:line="268" w:lineRule="auto" w:before="113"/>
        <w:ind w:left="935"/>
        <w:jc w:val="both"/>
      </w:pPr>
      <w:r>
        <w:rPr>
          <w:color w:val="231F20"/>
        </w:rPr>
        <w:t>These mechanisms may only apply in case of significant subscriptions / redemptions.</w:t>
      </w:r>
    </w:p>
    <w:p>
      <w:pPr>
        <w:pStyle w:val="BodyText"/>
        <w:spacing w:line="268" w:lineRule="auto" w:before="113"/>
        <w:ind w:left="935"/>
        <w:jc w:val="both"/>
      </w:pPr>
      <w:r>
        <w:rPr>
          <w:color w:val="231F20"/>
        </w:rPr>
        <w:t>The costs taken into account may include</w:t>
      </w:r>
      <w:r>
        <w:rPr>
          <w:color w:val="231F20"/>
          <w:spacing w:val="-42"/>
        </w:rPr>
        <w:t> </w:t>
      </w:r>
      <w:r>
        <w:rPr>
          <w:color w:val="231F20"/>
        </w:rPr>
        <w:t>transac- tion fees, related taxes and liquidity</w:t>
      </w:r>
      <w:r>
        <w:rPr>
          <w:color w:val="231F20"/>
          <w:spacing w:val="-10"/>
        </w:rPr>
        <w:t> </w:t>
      </w:r>
      <w:r>
        <w:rPr>
          <w:color w:val="231F20"/>
        </w:rPr>
        <w:t>costs.</w:t>
      </w:r>
    </w:p>
    <w:p>
      <w:pPr>
        <w:pStyle w:val="BodyText"/>
        <w:spacing w:line="268" w:lineRule="auto" w:before="113"/>
        <w:ind w:left="1086"/>
        <w:jc w:val="both"/>
      </w:pPr>
      <w:r>
        <w:rPr/>
        <w:pict>
          <v:rect style="position:absolute;margin-left:63.778999pt;margin-top:10.141758pt;width:3.898pt;height:3.898pt;mso-position-horizontal-relative:page;mso-position-vertical-relative:paragraph;z-index:15740416" filled="true" fillcolor="#cb4d2c" stroked="false">
            <v:fill type="solid"/>
            <w10:wrap type="none"/>
          </v:rect>
        </w:pict>
      </w:r>
      <w:r>
        <w:rPr>
          <w:color w:val="231F20"/>
        </w:rPr>
        <w:t>The use of these mechanisms does not exempt the management company from its obligations in respect of best execution, liquidity manage- ment, asset eligibility and fund valuation. Their implementation must not affect the investment or security selection </w:t>
      </w:r>
      <w:r>
        <w:rPr>
          <w:color w:val="231F20"/>
          <w:spacing w:val="-5"/>
        </w:rPr>
        <w:t>policy, </w:t>
      </w:r>
      <w:r>
        <w:rPr>
          <w:color w:val="231F20"/>
        </w:rPr>
        <w:t>particularly in terms of liquidity and</w:t>
      </w:r>
      <w:r>
        <w:rPr>
          <w:color w:val="231F20"/>
          <w:spacing w:val="-3"/>
        </w:rPr>
        <w:t> </w:t>
      </w:r>
      <w:r>
        <w:rPr>
          <w:color w:val="231F20"/>
        </w:rPr>
        <w:t>valuation.</w:t>
      </w:r>
    </w:p>
    <w:p>
      <w:pPr>
        <w:pStyle w:val="BodyText"/>
        <w:spacing w:line="268" w:lineRule="auto" w:before="111"/>
        <w:ind w:left="482" w:right="913"/>
        <w:jc w:val="both"/>
      </w:pPr>
      <w:r>
        <w:rPr/>
        <w:br w:type="column"/>
      </w:r>
      <w:r>
        <w:rPr>
          <w:color w:val="231F20"/>
        </w:rPr>
        <w:t>Except eventual minor administrative costs due to the mechanism’s implementation, the use of ADLs or Swing Pricing does not generate addi- tional</w:t>
      </w:r>
      <w:r>
        <w:rPr>
          <w:color w:val="231F20"/>
          <w:spacing w:val="-11"/>
        </w:rPr>
        <w:t> </w:t>
      </w:r>
      <w:r>
        <w:rPr>
          <w:color w:val="231F20"/>
        </w:rPr>
        <w:t>costs</w:t>
      </w:r>
      <w:r>
        <w:rPr>
          <w:color w:val="231F20"/>
          <w:spacing w:val="-10"/>
        </w:rPr>
        <w:t> </w:t>
      </w:r>
      <w:r>
        <w:rPr>
          <w:color w:val="231F20"/>
        </w:rPr>
        <w:t>for</w:t>
      </w:r>
      <w:r>
        <w:rPr>
          <w:color w:val="231F20"/>
          <w:spacing w:val="-10"/>
        </w:rPr>
        <w:t> </w:t>
      </w:r>
      <w:r>
        <w:rPr>
          <w:color w:val="231F20"/>
        </w:rPr>
        <w:t>the</w:t>
      </w:r>
      <w:r>
        <w:rPr>
          <w:color w:val="231F20"/>
          <w:spacing w:val="-10"/>
        </w:rPr>
        <w:t> </w:t>
      </w:r>
      <w:r>
        <w:rPr>
          <w:color w:val="231F20"/>
        </w:rPr>
        <w:t>fund:</w:t>
      </w:r>
      <w:r>
        <w:rPr>
          <w:color w:val="231F20"/>
          <w:spacing w:val="-10"/>
        </w:rPr>
        <w:t> </w:t>
      </w:r>
      <w:r>
        <w:rPr>
          <w:color w:val="231F20"/>
        </w:rPr>
        <w:t>these</w:t>
      </w:r>
      <w:r>
        <w:rPr>
          <w:color w:val="231F20"/>
          <w:spacing w:val="-10"/>
        </w:rPr>
        <w:t> </w:t>
      </w:r>
      <w:r>
        <w:rPr>
          <w:color w:val="231F20"/>
        </w:rPr>
        <w:t>mechanisms</w:t>
      </w:r>
      <w:r>
        <w:rPr>
          <w:color w:val="231F20"/>
          <w:spacing w:val="-10"/>
        </w:rPr>
        <w:t> </w:t>
      </w:r>
      <w:r>
        <w:rPr>
          <w:color w:val="231F20"/>
        </w:rPr>
        <w:t>only affect the way in which costs are distributed among</w:t>
      </w:r>
      <w:r>
        <w:rPr>
          <w:color w:val="231F20"/>
          <w:spacing w:val="-2"/>
        </w:rPr>
        <w:t> </w:t>
      </w:r>
      <w:r>
        <w:rPr>
          <w:color w:val="231F20"/>
        </w:rPr>
        <w:t>investors.</w:t>
      </w:r>
    </w:p>
    <w:p>
      <w:pPr>
        <w:pStyle w:val="BodyText"/>
        <w:spacing w:line="268" w:lineRule="auto" w:before="113"/>
        <w:ind w:left="463" w:right="911"/>
        <w:jc w:val="both"/>
      </w:pPr>
      <w:r>
        <w:rPr/>
        <w:pict>
          <v:rect style="position:absolute;margin-left:306.990997pt;margin-top:10.14174pt;width:3.898pt;height:3.898pt;mso-position-horizontal-relative:page;mso-position-vertical-relative:paragraph;z-index:15740928" filled="true" fillcolor="#cb4d2c" stroked="false">
            <v:fill type="solid"/>
            <w10:wrap type="none"/>
          </v:rect>
        </w:pict>
      </w:r>
      <w:r>
        <w:rPr>
          <w:color w:val="231F20"/>
        </w:rPr>
        <w:t>It is the management </w:t>
      </w:r>
      <w:r>
        <w:rPr>
          <w:color w:val="231F20"/>
          <w:spacing w:val="-3"/>
        </w:rPr>
        <w:t>company’s </w:t>
      </w:r>
      <w:r>
        <w:rPr>
          <w:color w:val="231F20"/>
        </w:rPr>
        <w:t>responsibility to define the investors affected by this type    of mechanism, the  types  of  funds  to  which  it is likely to apply such mechanisms and the implementation method, and to  implement  and monitor the mechanism in accordance with the principles laid down in this Code. These aspects should be described in a Swing Pricing and ADL policy elaborated and maintained  up to date by the management</w:t>
      </w:r>
      <w:r>
        <w:rPr>
          <w:color w:val="231F20"/>
          <w:spacing w:val="-9"/>
        </w:rPr>
        <w:t> </w:t>
      </w:r>
      <w:r>
        <w:rPr>
          <w:color w:val="231F20"/>
          <w:spacing w:val="-4"/>
        </w:rPr>
        <w:t>company.</w:t>
      </w:r>
    </w:p>
    <w:p>
      <w:pPr>
        <w:pStyle w:val="BodyText"/>
        <w:spacing w:line="268" w:lineRule="auto" w:before="55"/>
        <w:ind w:left="481" w:right="914"/>
        <w:jc w:val="both"/>
      </w:pPr>
      <w:r>
        <w:rPr>
          <w:color w:val="231F20"/>
        </w:rPr>
        <w:t>The management company must also identify and manage potential conflicts of interest arising from the use of these mechanisms.</w:t>
      </w:r>
    </w:p>
    <w:p>
      <w:pPr>
        <w:spacing w:after="0" w:line="268" w:lineRule="auto"/>
        <w:jc w:val="both"/>
        <w:sectPr>
          <w:type w:val="continuous"/>
          <w:pgSz w:w="11910" w:h="16840"/>
          <w:pgMar w:top="1580" w:bottom="280" w:left="340" w:right="360"/>
          <w:cols w:num="2" w:equalWidth="0">
            <w:col w:w="5448" w:space="40"/>
            <w:col w:w="5722"/>
          </w:cols>
        </w:sectPr>
      </w:pPr>
    </w:p>
    <w:p>
      <w:pPr>
        <w:pStyle w:val="BodyText"/>
        <w:spacing w:before="9"/>
        <w:rPr>
          <w:sz w:val="31"/>
        </w:rPr>
      </w:pPr>
    </w:p>
    <w:p>
      <w:pPr>
        <w:pStyle w:val="Heading1"/>
        <w:numPr>
          <w:ilvl w:val="0"/>
          <w:numId w:val="2"/>
        </w:numPr>
        <w:tabs>
          <w:tab w:pos="1516" w:val="left" w:leader="none"/>
        </w:tabs>
        <w:spacing w:line="240" w:lineRule="auto" w:before="0" w:after="0"/>
        <w:ind w:left="1515" w:right="0" w:hanging="354"/>
        <w:jc w:val="left"/>
      </w:pPr>
      <w:r>
        <w:rPr/>
        <w:pict>
          <v:line style="position:absolute;mso-position-horizontal-relative:page;mso-position-vertical-relative:paragraph;z-index:15742976" from="64.279503pt,-4.332069pt" to="64.279503pt,24.013931pt" stroked="true" strokeweight="2pt" strokecolor="#cb4d2c">
            <v:stroke dashstyle="solid"/>
            <w10:wrap type="none"/>
          </v:line>
        </w:pict>
      </w:r>
      <w:bookmarkStart w:name="_TOC_250006" w:id="3"/>
      <w:r>
        <w:rPr>
          <w:color w:val="CB4D2C"/>
          <w:w w:val="105"/>
        </w:rPr>
        <w:t>COMMON</w:t>
      </w:r>
      <w:r>
        <w:rPr>
          <w:color w:val="CB4D2C"/>
          <w:spacing w:val="-39"/>
          <w:w w:val="105"/>
        </w:rPr>
        <w:t> </w:t>
      </w:r>
      <w:bookmarkEnd w:id="3"/>
      <w:r>
        <w:rPr>
          <w:color w:val="CB4D2C"/>
          <w:w w:val="105"/>
        </w:rPr>
        <w:t>PROVISIONS</w:t>
      </w:r>
    </w:p>
    <w:p>
      <w:pPr>
        <w:pStyle w:val="BodyText"/>
        <w:spacing w:before="10"/>
        <w:rPr>
          <w:rFonts w:ascii="Arial"/>
          <w:sz w:val="22"/>
        </w:rPr>
      </w:pPr>
    </w:p>
    <w:p>
      <w:pPr>
        <w:pStyle w:val="BodyText"/>
        <w:spacing w:line="20" w:lineRule="exact"/>
        <w:ind w:left="932" w:right="-72"/>
        <w:rPr>
          <w:rFonts w:ascii="Arial"/>
          <w:sz w:val="2"/>
        </w:rPr>
      </w:pPr>
      <w:r>
        <w:rPr>
          <w:rFonts w:ascii="Arial"/>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rFonts w:ascii="Arial"/>
          <w:sz w:val="2"/>
        </w:rPr>
      </w:r>
    </w:p>
    <w:p>
      <w:pPr>
        <w:pStyle w:val="Heading2"/>
        <w:numPr>
          <w:ilvl w:val="1"/>
          <w:numId w:val="3"/>
        </w:numPr>
        <w:tabs>
          <w:tab w:pos="1299" w:val="left" w:leader="none"/>
        </w:tabs>
        <w:spacing w:line="240" w:lineRule="auto" w:before="44" w:after="0"/>
        <w:ind w:left="1298" w:right="0" w:hanging="364"/>
        <w:jc w:val="left"/>
        <w:rPr>
          <w:rFonts w:ascii="Arial"/>
        </w:rPr>
      </w:pPr>
      <w:bookmarkStart w:name="_TOC_250005" w:id="4"/>
      <w:r>
        <w:rPr>
          <w:rFonts w:ascii="Arial"/>
          <w:color w:val="CB4D2C"/>
          <w:w w:val="115"/>
        </w:rPr>
        <w:t>Calculation</w:t>
      </w:r>
      <w:r>
        <w:rPr>
          <w:rFonts w:ascii="Arial"/>
          <w:color w:val="CB4D2C"/>
          <w:spacing w:val="-7"/>
          <w:w w:val="115"/>
        </w:rPr>
        <w:t> </w:t>
      </w:r>
      <w:bookmarkEnd w:id="4"/>
      <w:r>
        <w:rPr>
          <w:rFonts w:ascii="Arial"/>
          <w:color w:val="CB4D2C"/>
          <w:w w:val="115"/>
        </w:rPr>
        <w:t>methodology</w:t>
      </w:r>
    </w:p>
    <w:p>
      <w:pPr>
        <w:pStyle w:val="BodyText"/>
        <w:spacing w:before="4"/>
        <w:rPr>
          <w:rFonts w:ascii="Arial"/>
          <w:sz w:val="5"/>
        </w:rPr>
      </w:pPr>
    </w:p>
    <w:p>
      <w:pPr>
        <w:pStyle w:val="BodyText"/>
        <w:spacing w:line="20" w:lineRule="exact"/>
        <w:ind w:left="932" w:right="-72"/>
        <w:rPr>
          <w:rFonts w:ascii="Arial"/>
          <w:sz w:val="2"/>
        </w:rPr>
      </w:pPr>
      <w:r>
        <w:rPr>
          <w:rFonts w:ascii="Arial"/>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rFonts w:ascii="Arial"/>
          <w:sz w:val="2"/>
        </w:rPr>
      </w:r>
    </w:p>
    <w:p>
      <w:pPr>
        <w:pStyle w:val="BodyText"/>
        <w:spacing w:line="268" w:lineRule="auto" w:before="109"/>
        <w:ind w:left="935" w:right="1"/>
        <w:jc w:val="both"/>
      </w:pPr>
      <w:r>
        <w:rPr>
          <w:color w:val="231F20"/>
        </w:rPr>
        <w:t>The </w:t>
      </w:r>
      <w:r>
        <w:rPr>
          <w:color w:val="231F20"/>
          <w:spacing w:val="-3"/>
        </w:rPr>
        <w:t>process </w:t>
      </w:r>
      <w:r>
        <w:rPr>
          <w:color w:val="231F20"/>
        </w:rPr>
        <w:t>of </w:t>
      </w:r>
      <w:r>
        <w:rPr>
          <w:color w:val="231F20"/>
          <w:spacing w:val="-3"/>
        </w:rPr>
        <w:t>calculating </w:t>
      </w:r>
      <w:r>
        <w:rPr>
          <w:color w:val="231F20"/>
        </w:rPr>
        <w:t>the </w:t>
      </w:r>
      <w:r>
        <w:rPr>
          <w:color w:val="231F20"/>
          <w:spacing w:val="-3"/>
        </w:rPr>
        <w:t>“swung” </w:t>
      </w:r>
      <w:r>
        <w:rPr>
          <w:color w:val="231F20"/>
        </w:rPr>
        <w:t>net </w:t>
      </w:r>
      <w:r>
        <w:rPr>
          <w:color w:val="231F20"/>
          <w:spacing w:val="-3"/>
        </w:rPr>
        <w:t>asset </w:t>
      </w:r>
      <w:r>
        <w:rPr>
          <w:color w:val="231F20"/>
        </w:rPr>
        <w:t>value per share or the ADLs can be </w:t>
      </w:r>
      <w:r>
        <w:rPr>
          <w:color w:val="231F20"/>
          <w:spacing w:val="-3"/>
        </w:rPr>
        <w:t>broken down into </w:t>
      </w:r>
      <w:r>
        <w:rPr>
          <w:color w:val="231F20"/>
        </w:rPr>
        <w:t>two stages: </w:t>
      </w:r>
      <w:r>
        <w:rPr>
          <w:color w:val="231F20"/>
          <w:spacing w:val="-3"/>
        </w:rPr>
        <w:t>estimating </w:t>
      </w:r>
      <w:r>
        <w:rPr>
          <w:color w:val="231F20"/>
        </w:rPr>
        <w:t>the </w:t>
      </w:r>
      <w:r>
        <w:rPr>
          <w:color w:val="231F20"/>
          <w:spacing w:val="-3"/>
        </w:rPr>
        <w:t>total cost </w:t>
      </w:r>
      <w:r>
        <w:rPr>
          <w:color w:val="231F20"/>
        </w:rPr>
        <w:t>to </w:t>
      </w:r>
      <w:r>
        <w:rPr>
          <w:color w:val="231F20"/>
          <w:spacing w:val="-3"/>
        </w:rPr>
        <w:t>the </w:t>
      </w:r>
      <w:r>
        <w:rPr>
          <w:color w:val="231F20"/>
        </w:rPr>
        <w:t>fund</w:t>
      </w:r>
      <w:r>
        <w:rPr>
          <w:color w:val="231F20"/>
          <w:spacing w:val="-5"/>
        </w:rPr>
        <w:t> </w:t>
      </w:r>
      <w:r>
        <w:rPr>
          <w:color w:val="231F20"/>
        </w:rPr>
        <w:t>of</w:t>
      </w:r>
      <w:r>
        <w:rPr>
          <w:color w:val="231F20"/>
          <w:spacing w:val="-4"/>
        </w:rPr>
        <w:t> </w:t>
      </w:r>
      <w:r>
        <w:rPr>
          <w:color w:val="231F20"/>
        </w:rPr>
        <w:t>subscriptions</w:t>
      </w:r>
      <w:r>
        <w:rPr>
          <w:color w:val="231F20"/>
          <w:spacing w:val="-45"/>
        </w:rPr>
        <w:t> </w:t>
      </w:r>
      <w:r>
        <w:rPr>
          <w:color w:val="231F20"/>
        </w:rPr>
        <w:t>/</w:t>
      </w:r>
      <w:r>
        <w:rPr>
          <w:color w:val="231F20"/>
          <w:spacing w:val="-43"/>
        </w:rPr>
        <w:t> </w:t>
      </w:r>
      <w:r>
        <w:rPr>
          <w:color w:val="231F20"/>
        </w:rPr>
        <w:t>redemptions,</w:t>
      </w:r>
      <w:r>
        <w:rPr>
          <w:color w:val="231F20"/>
          <w:spacing w:val="-5"/>
        </w:rPr>
        <w:t> </w:t>
      </w:r>
      <w:r>
        <w:rPr>
          <w:color w:val="231F20"/>
        </w:rPr>
        <w:t>and</w:t>
      </w:r>
      <w:r>
        <w:rPr>
          <w:color w:val="231F20"/>
          <w:spacing w:val="-4"/>
        </w:rPr>
        <w:t> </w:t>
      </w:r>
      <w:r>
        <w:rPr>
          <w:color w:val="231F20"/>
          <w:spacing w:val="-3"/>
        </w:rPr>
        <w:t>allocating this total cost among </w:t>
      </w:r>
      <w:r>
        <w:rPr>
          <w:color w:val="231F20"/>
        </w:rPr>
        <w:t>remaining, subscribing </w:t>
      </w:r>
      <w:r>
        <w:rPr>
          <w:color w:val="231F20"/>
          <w:spacing w:val="-3"/>
        </w:rPr>
        <w:t>and </w:t>
      </w:r>
      <w:r>
        <w:rPr>
          <w:color w:val="231F20"/>
        </w:rPr>
        <w:t>redeeming</w:t>
      </w:r>
      <w:r>
        <w:rPr>
          <w:color w:val="231F20"/>
          <w:spacing w:val="-12"/>
        </w:rPr>
        <w:t> </w:t>
      </w:r>
      <w:r>
        <w:rPr>
          <w:color w:val="231F20"/>
          <w:spacing w:val="-3"/>
        </w:rPr>
        <w:t>investors.</w:t>
      </w:r>
      <w:r>
        <w:rPr>
          <w:color w:val="231F20"/>
          <w:spacing w:val="-16"/>
        </w:rPr>
        <w:t> </w:t>
      </w:r>
      <w:r>
        <w:rPr>
          <w:color w:val="231F20"/>
        </w:rPr>
        <w:t>The</w:t>
      </w:r>
      <w:r>
        <w:rPr>
          <w:color w:val="231F20"/>
          <w:spacing w:val="-12"/>
        </w:rPr>
        <w:t> </w:t>
      </w:r>
      <w:r>
        <w:rPr>
          <w:color w:val="231F20"/>
          <w:spacing w:val="-3"/>
        </w:rPr>
        <w:t>cost</w:t>
      </w:r>
      <w:r>
        <w:rPr>
          <w:color w:val="231F20"/>
          <w:spacing w:val="-12"/>
        </w:rPr>
        <w:t> </w:t>
      </w:r>
      <w:r>
        <w:rPr>
          <w:color w:val="231F20"/>
          <w:spacing w:val="-3"/>
        </w:rPr>
        <w:t>determination</w:t>
      </w:r>
      <w:r>
        <w:rPr>
          <w:color w:val="231F20"/>
          <w:spacing w:val="-12"/>
        </w:rPr>
        <w:t> </w:t>
      </w:r>
      <w:r>
        <w:rPr>
          <w:color w:val="231F20"/>
          <w:spacing w:val="-3"/>
        </w:rPr>
        <w:t>phase </w:t>
      </w:r>
      <w:r>
        <w:rPr>
          <w:color w:val="231F20"/>
        </w:rPr>
        <w:t>is </w:t>
      </w:r>
      <w:r>
        <w:rPr>
          <w:color w:val="231F20"/>
          <w:spacing w:val="-3"/>
        </w:rPr>
        <w:t>identical </w:t>
      </w:r>
      <w:r>
        <w:rPr>
          <w:color w:val="231F20"/>
        </w:rPr>
        <w:t>for Swing </w:t>
      </w:r>
      <w:r>
        <w:rPr>
          <w:color w:val="231F20"/>
          <w:spacing w:val="-4"/>
        </w:rPr>
        <w:t>Pricing </w:t>
      </w:r>
      <w:r>
        <w:rPr>
          <w:color w:val="231F20"/>
        </w:rPr>
        <w:t>and</w:t>
      </w:r>
      <w:r>
        <w:rPr>
          <w:color w:val="231F20"/>
          <w:spacing w:val="-37"/>
        </w:rPr>
        <w:t> </w:t>
      </w:r>
      <w:r>
        <w:rPr>
          <w:color w:val="231F20"/>
        </w:rPr>
        <w:t>ADLs.</w:t>
      </w:r>
    </w:p>
    <w:p>
      <w:pPr>
        <w:pStyle w:val="BodyText"/>
        <w:spacing w:line="268" w:lineRule="auto" w:before="113"/>
        <w:ind w:left="935"/>
        <w:jc w:val="both"/>
      </w:pPr>
      <w:r>
        <w:rPr>
          <w:color w:val="231F20"/>
        </w:rPr>
        <w:t>The</w:t>
      </w:r>
      <w:r>
        <w:rPr>
          <w:color w:val="231F20"/>
          <w:spacing w:val="-15"/>
        </w:rPr>
        <w:t> </w:t>
      </w:r>
      <w:r>
        <w:rPr>
          <w:color w:val="231F20"/>
          <w:spacing w:val="-3"/>
        </w:rPr>
        <w:t>management</w:t>
      </w:r>
      <w:r>
        <w:rPr>
          <w:color w:val="231F20"/>
          <w:spacing w:val="-14"/>
        </w:rPr>
        <w:t> </w:t>
      </w:r>
      <w:r>
        <w:rPr>
          <w:color w:val="231F20"/>
          <w:spacing w:val="-3"/>
        </w:rPr>
        <w:t>company</w:t>
      </w:r>
      <w:r>
        <w:rPr>
          <w:color w:val="231F20"/>
          <w:spacing w:val="-15"/>
        </w:rPr>
        <w:t> </w:t>
      </w:r>
      <w:r>
        <w:rPr>
          <w:color w:val="231F20"/>
        </w:rPr>
        <w:t>is</w:t>
      </w:r>
      <w:r>
        <w:rPr>
          <w:color w:val="231F20"/>
          <w:spacing w:val="-14"/>
        </w:rPr>
        <w:t> </w:t>
      </w:r>
      <w:r>
        <w:rPr>
          <w:color w:val="231F20"/>
        </w:rPr>
        <w:t>responsible</w:t>
      </w:r>
      <w:r>
        <w:rPr>
          <w:color w:val="231F20"/>
          <w:spacing w:val="-14"/>
        </w:rPr>
        <w:t> </w:t>
      </w:r>
      <w:r>
        <w:rPr>
          <w:color w:val="231F20"/>
        </w:rPr>
        <w:t>for</w:t>
      </w:r>
      <w:r>
        <w:rPr>
          <w:color w:val="231F20"/>
          <w:spacing w:val="-15"/>
        </w:rPr>
        <w:t> </w:t>
      </w:r>
      <w:r>
        <w:rPr>
          <w:color w:val="231F20"/>
          <w:spacing w:val="-3"/>
        </w:rPr>
        <w:t>deter- mining </w:t>
      </w:r>
      <w:r>
        <w:rPr>
          <w:color w:val="231F20"/>
        </w:rPr>
        <w:t>the </w:t>
      </w:r>
      <w:r>
        <w:rPr>
          <w:color w:val="231F20"/>
          <w:spacing w:val="-3"/>
        </w:rPr>
        <w:t>nature </w:t>
      </w:r>
      <w:r>
        <w:rPr>
          <w:color w:val="231F20"/>
        </w:rPr>
        <w:t>of the </w:t>
      </w:r>
      <w:r>
        <w:rPr>
          <w:color w:val="231F20"/>
          <w:spacing w:val="-3"/>
        </w:rPr>
        <w:t>costs taken into consider- ation </w:t>
      </w:r>
      <w:r>
        <w:rPr>
          <w:color w:val="231F20"/>
        </w:rPr>
        <w:t>and the </w:t>
      </w:r>
      <w:r>
        <w:rPr>
          <w:color w:val="231F20"/>
          <w:spacing w:val="-3"/>
        </w:rPr>
        <w:t>methodology used </w:t>
      </w:r>
      <w:r>
        <w:rPr>
          <w:color w:val="231F20"/>
        </w:rPr>
        <w:t>to </w:t>
      </w:r>
      <w:r>
        <w:rPr>
          <w:color w:val="231F20"/>
          <w:spacing w:val="-3"/>
        </w:rPr>
        <w:t>estimate and allocate them. </w:t>
      </w:r>
      <w:r>
        <w:rPr>
          <w:color w:val="231F20"/>
        </w:rPr>
        <w:t>These </w:t>
      </w:r>
      <w:r>
        <w:rPr>
          <w:color w:val="231F20"/>
          <w:spacing w:val="-3"/>
        </w:rPr>
        <w:t>details must </w:t>
      </w:r>
      <w:r>
        <w:rPr>
          <w:color w:val="231F20"/>
        </w:rPr>
        <w:t>be </w:t>
      </w:r>
      <w:r>
        <w:rPr>
          <w:color w:val="231F20"/>
          <w:spacing w:val="-3"/>
        </w:rPr>
        <w:t>documented </w:t>
      </w:r>
      <w:r>
        <w:rPr>
          <w:color w:val="231F20"/>
        </w:rPr>
        <w:t>in the </w:t>
      </w:r>
      <w:r>
        <w:rPr>
          <w:color w:val="231F20"/>
          <w:spacing w:val="-3"/>
        </w:rPr>
        <w:t>management </w:t>
      </w:r>
      <w:r>
        <w:rPr>
          <w:color w:val="231F20"/>
          <w:spacing w:val="-5"/>
        </w:rPr>
        <w:t>company’s </w:t>
      </w:r>
      <w:r>
        <w:rPr>
          <w:color w:val="231F20"/>
        </w:rPr>
        <w:t>Swing </w:t>
      </w:r>
      <w:r>
        <w:rPr>
          <w:color w:val="231F20"/>
          <w:spacing w:val="-4"/>
        </w:rPr>
        <w:t>Pricing </w:t>
      </w:r>
      <w:r>
        <w:rPr>
          <w:color w:val="231F20"/>
          <w:spacing w:val="-3"/>
        </w:rPr>
        <w:t>and </w:t>
      </w:r>
      <w:r>
        <w:rPr>
          <w:color w:val="231F20"/>
        </w:rPr>
        <w:t>ADLs</w:t>
      </w:r>
      <w:r>
        <w:rPr>
          <w:color w:val="231F20"/>
          <w:spacing w:val="-5"/>
        </w:rPr>
        <w:t> </w:t>
      </w:r>
      <w:r>
        <w:rPr>
          <w:color w:val="231F20"/>
          <w:spacing w:val="-6"/>
        </w:rPr>
        <w:t>policy.</w:t>
      </w:r>
    </w:p>
    <w:p>
      <w:pPr>
        <w:pStyle w:val="BodyText"/>
        <w:spacing w:before="77"/>
        <w:ind w:right="102"/>
        <w:jc w:val="right"/>
        <w:rPr>
          <w:rFonts w:ascii="Arial"/>
        </w:rPr>
      </w:pPr>
      <w:r>
        <w:rPr/>
        <w:br w:type="column"/>
      </w:r>
      <w:r>
        <w:rPr>
          <w:rFonts w:ascii="Arial"/>
          <w:color w:val="FFFFFF"/>
          <w:w w:val="96"/>
          <w:shd w:fill="CB4D2C" w:color="auto" w:val="clear"/>
        </w:rPr>
        <w:t> </w:t>
      </w:r>
      <w:r>
        <w:rPr>
          <w:rFonts w:ascii="Arial"/>
          <w:color w:val="FFFFFF"/>
          <w:shd w:fill="CB4D2C" w:color="auto" w:val="clear"/>
        </w:rPr>
        <w:t> 3 </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4"/>
        <w:rPr>
          <w:rFonts w:ascii="Arial"/>
          <w:sz w:val="26"/>
        </w:rPr>
      </w:pPr>
    </w:p>
    <w:p>
      <w:pPr>
        <w:pStyle w:val="BodyText"/>
        <w:spacing w:line="268" w:lineRule="auto"/>
        <w:ind w:left="332" w:right="913"/>
        <w:jc w:val="both"/>
      </w:pPr>
      <w:r>
        <w:rPr/>
        <w:pict>
          <v:shape style="position:absolute;margin-left:559.997437pt;margin-top:-46.901619pt;width:9.8pt;height:84.7pt;mso-position-horizontal-relative:page;mso-position-vertical-relative:paragraph;z-index:15748608" type="#_x0000_t202" filled="false" stroked="false">
            <v:textbox inset="0,0,0,0" style="layout-flow:vertical;mso-layout-flow-alt:bottom-to-top">
              <w:txbxContent>
                <w:p>
                  <w:pPr>
                    <w:spacing w:before="13"/>
                    <w:ind w:left="20" w:right="0" w:firstLine="0"/>
                    <w:jc w:val="left"/>
                    <w:rPr>
                      <w:rFonts w:ascii="Arial" w:hAnsi="Arial"/>
                      <w:sz w:val="14"/>
                    </w:rPr>
                  </w:pPr>
                  <w:r>
                    <w:rPr>
                      <w:rFonts w:ascii="Arial" w:hAnsi="Arial"/>
                      <w:color w:val="CB4D2C"/>
                      <w:w w:val="105"/>
                      <w:sz w:val="14"/>
                    </w:rPr>
                    <w:t>AFG – NOVEMBER</w:t>
                  </w:r>
                  <w:r>
                    <w:rPr>
                      <w:rFonts w:ascii="Arial" w:hAnsi="Arial"/>
                      <w:color w:val="CB4D2C"/>
                      <w:spacing w:val="-24"/>
                      <w:w w:val="105"/>
                      <w:sz w:val="14"/>
                    </w:rPr>
                    <w:t> </w:t>
                  </w:r>
                  <w:r>
                    <w:rPr>
                      <w:rFonts w:ascii="Arial" w:hAnsi="Arial"/>
                      <w:color w:val="CB4D2C"/>
                      <w:w w:val="105"/>
                      <w:sz w:val="14"/>
                    </w:rPr>
                    <w:t>2020</w:t>
                  </w:r>
                </w:p>
              </w:txbxContent>
            </v:textbox>
            <w10:wrap type="none"/>
          </v:shape>
        </w:pict>
      </w:r>
      <w:r>
        <w:rPr>
          <w:color w:val="231F20"/>
        </w:rPr>
        <w:t>(country, sector, maturity), type of instrument or security. It should establish these parameters ei- ther daily or periodically, such calculation period not exceeding six months.</w:t>
      </w:r>
    </w:p>
    <w:p>
      <w:pPr>
        <w:pStyle w:val="BodyText"/>
        <w:spacing w:line="268" w:lineRule="auto" w:before="113"/>
        <w:ind w:left="332" w:right="914"/>
        <w:jc w:val="both"/>
      </w:pPr>
      <w:r>
        <w:rPr>
          <w:color w:val="231F20"/>
        </w:rPr>
        <w:t>Cost estimates must be documented and based on justifiable</w:t>
      </w:r>
      <w:r>
        <w:rPr>
          <w:color w:val="231F20"/>
          <w:spacing w:val="8"/>
        </w:rPr>
        <w:t> </w:t>
      </w:r>
      <w:r>
        <w:rPr>
          <w:color w:val="231F20"/>
        </w:rPr>
        <w:t>data.</w:t>
      </w:r>
    </w:p>
    <w:p>
      <w:pPr>
        <w:pStyle w:val="BodyText"/>
        <w:spacing w:line="268" w:lineRule="auto" w:before="113"/>
        <w:ind w:left="332" w:right="912"/>
        <w:jc w:val="both"/>
      </w:pPr>
      <w:r>
        <w:rPr>
          <w:color w:val="231F20"/>
        </w:rPr>
        <w:t>Furthermore, estimated liquidity costs must take into account the fund’s valuation policy (mid or bid price).</w:t>
      </w:r>
    </w:p>
    <w:p>
      <w:pPr>
        <w:pStyle w:val="BodyText"/>
        <w:rPr>
          <w:sz w:val="22"/>
        </w:rPr>
      </w:pPr>
    </w:p>
    <w:p>
      <w:pPr>
        <w:pStyle w:val="BodyText"/>
        <w:rPr>
          <w:sz w:val="17"/>
        </w:rPr>
      </w:pPr>
    </w:p>
    <w:p>
      <w:pPr>
        <w:pStyle w:val="Heading3"/>
        <w:numPr>
          <w:ilvl w:val="2"/>
          <w:numId w:val="4"/>
        </w:numPr>
        <w:tabs>
          <w:tab w:pos="904" w:val="left" w:leader="none"/>
        </w:tabs>
        <w:spacing w:line="240" w:lineRule="auto" w:before="1" w:after="0"/>
        <w:ind w:left="903" w:right="0" w:hanging="572"/>
        <w:jc w:val="left"/>
      </w:pPr>
      <w:r>
        <w:rPr>
          <w:color w:val="CB4D2C"/>
        </w:rPr>
        <w:t>Cost allocation: swing</w:t>
      </w:r>
      <w:r>
        <w:rPr>
          <w:color w:val="CB4D2C"/>
          <w:spacing w:val="16"/>
        </w:rPr>
        <w:t> </w:t>
      </w:r>
      <w:r>
        <w:rPr>
          <w:color w:val="CB4D2C"/>
        </w:rPr>
        <w:t>Pricing</w:t>
      </w:r>
    </w:p>
    <w:p>
      <w:pPr>
        <w:pStyle w:val="BodyText"/>
        <w:spacing w:line="268" w:lineRule="auto" w:before="141"/>
        <w:ind w:left="332" w:right="913"/>
        <w:jc w:val="both"/>
      </w:pPr>
      <w:r>
        <w:rPr>
          <w:color w:val="231F20"/>
        </w:rPr>
        <w:t>For Swing Pricing, the previously estimated read- justment cost is incorporated into the net asset value in proportion to the fund’s total assets, giving a total impact of </w:t>
      </w:r>
      <w:r>
        <w:rPr>
          <w:i/>
          <w:color w:val="CB4D2C"/>
        </w:rPr>
        <w:t>C * N / | S - R</w:t>
      </w:r>
      <w:r>
        <w:rPr>
          <w:i/>
          <w:color w:val="CB4D2C"/>
          <w:spacing w:val="51"/>
        </w:rPr>
        <w:t> </w:t>
      </w:r>
      <w:r>
        <w:rPr>
          <w:i/>
          <w:color w:val="CB4D2C"/>
        </w:rPr>
        <w:t>|</w:t>
      </w:r>
      <w:r>
        <w:rPr>
          <w:color w:val="231F20"/>
        </w:rPr>
        <w:t>.</w:t>
      </w:r>
    </w:p>
    <w:p>
      <w:pPr>
        <w:pStyle w:val="BodyText"/>
        <w:spacing w:line="268" w:lineRule="auto" w:before="113"/>
        <w:ind w:left="332" w:right="912"/>
        <w:jc w:val="both"/>
      </w:pPr>
      <w:r>
        <w:rPr>
          <w:color w:val="231F20"/>
        </w:rPr>
        <w:t>It causes the net asset value to increase if net subscriptions are positive, or to decrease if net subscriptions are negative. The net asset value per unit is thus as follows:</w:t>
      </w:r>
    </w:p>
    <w:p>
      <w:pPr>
        <w:spacing w:before="113"/>
        <w:ind w:left="484" w:right="0" w:firstLine="0"/>
        <w:jc w:val="left"/>
        <w:rPr>
          <w:i/>
          <w:sz w:val="20"/>
        </w:rPr>
      </w:pPr>
      <w:r>
        <w:rPr/>
        <w:pict>
          <v:rect style="position:absolute;margin-left:306.990997pt;margin-top:10.141759pt;width:3.898pt;height:3.898pt;mso-position-horizontal-relative:page;mso-position-vertical-relative:paragraph;z-index:15745024" filled="true" fillcolor="#cb4d2c" stroked="false">
            <v:fill type="solid"/>
            <w10:wrap type="none"/>
          </v:rect>
        </w:pict>
      </w:r>
      <w:r>
        <w:rPr>
          <w:color w:val="231F20"/>
          <w:sz w:val="20"/>
        </w:rPr>
        <w:t>If </w:t>
      </w:r>
      <w:r>
        <w:rPr>
          <w:i/>
          <w:color w:val="CB4D2C"/>
          <w:sz w:val="20"/>
        </w:rPr>
        <w:t>S &gt; R: NAV</w:t>
      </w:r>
      <w:r>
        <w:rPr>
          <w:i/>
          <w:color w:val="CB4D2C"/>
          <w:position w:val="-6"/>
          <w:sz w:val="11"/>
        </w:rPr>
        <w:t>swung </w:t>
      </w:r>
      <w:r>
        <w:rPr>
          <w:i/>
          <w:color w:val="CB4D2C"/>
          <w:sz w:val="20"/>
        </w:rPr>
        <w:t>= NAV</w:t>
      </w:r>
      <w:r>
        <w:rPr>
          <w:i/>
          <w:color w:val="CB4D2C"/>
          <w:position w:val="-6"/>
          <w:sz w:val="11"/>
        </w:rPr>
        <w:t>gross </w:t>
      </w:r>
      <w:r>
        <w:rPr>
          <w:i/>
          <w:color w:val="CB4D2C"/>
          <w:sz w:val="20"/>
        </w:rPr>
        <w:t>+ C / (S – R)</w:t>
      </w:r>
    </w:p>
    <w:p>
      <w:pPr>
        <w:spacing w:before="91"/>
        <w:ind w:left="484" w:right="0" w:firstLine="0"/>
        <w:jc w:val="left"/>
        <w:rPr>
          <w:i/>
          <w:sz w:val="11"/>
        </w:rPr>
      </w:pPr>
      <w:r>
        <w:rPr/>
        <w:pict>
          <v:rect style="position:absolute;margin-left:306.990997pt;margin-top:9.041539pt;width:3.898pt;height:3.898pt;mso-position-horizontal-relative:page;mso-position-vertical-relative:paragraph;z-index:15745536" filled="true" fillcolor="#cb4d2c" stroked="false">
            <v:fill type="solid"/>
            <w10:wrap type="none"/>
          </v:rect>
        </w:pict>
      </w:r>
      <w:r>
        <w:rPr>
          <w:color w:val="231F20"/>
          <w:sz w:val="20"/>
        </w:rPr>
        <w:t>If </w:t>
      </w:r>
      <w:r>
        <w:rPr>
          <w:i/>
          <w:color w:val="CB4D2C"/>
          <w:sz w:val="20"/>
        </w:rPr>
        <w:t>S = R: NAV</w:t>
      </w:r>
      <w:r>
        <w:rPr>
          <w:i/>
          <w:color w:val="CB4D2C"/>
          <w:position w:val="-6"/>
          <w:sz w:val="11"/>
        </w:rPr>
        <w:t>swung </w:t>
      </w:r>
      <w:r>
        <w:rPr>
          <w:i/>
          <w:color w:val="CB4D2C"/>
          <w:sz w:val="20"/>
        </w:rPr>
        <w:t>= NAV</w:t>
      </w:r>
      <w:r>
        <w:rPr>
          <w:i/>
          <w:color w:val="CB4D2C"/>
          <w:position w:val="-6"/>
          <w:sz w:val="11"/>
        </w:rPr>
        <w:t>gross</w:t>
      </w:r>
    </w:p>
    <w:p>
      <w:pPr>
        <w:spacing w:after="0"/>
        <w:jc w:val="left"/>
        <w:rPr>
          <w:sz w:val="11"/>
        </w:rPr>
        <w:sectPr>
          <w:pgSz w:w="11910" w:h="16840"/>
          <w:pgMar w:top="380" w:bottom="280" w:left="340" w:right="360"/>
          <w:cols w:num="2" w:equalWidth="0">
            <w:col w:w="5427" w:space="40"/>
            <w:col w:w="5743"/>
          </w:cols>
        </w:sectPr>
      </w:pPr>
    </w:p>
    <w:p>
      <w:pPr>
        <w:spacing w:before="91"/>
        <w:ind w:left="0" w:right="0" w:firstLine="0"/>
        <w:jc w:val="right"/>
        <w:rPr>
          <w:i/>
          <w:sz w:val="20"/>
        </w:rPr>
      </w:pPr>
      <w:r>
        <w:rPr/>
        <w:pict>
          <v:rect style="position:absolute;margin-left:306.990997pt;margin-top:9.042136pt;width:3.898pt;height:3.898pt;mso-position-horizontal-relative:page;mso-position-vertical-relative:paragraph;z-index:15746048" filled="true" fillcolor="#cb4d2c" stroked="false">
            <v:fill type="solid"/>
            <w10:wrap type="none"/>
          </v:rect>
        </w:pict>
      </w:r>
      <w:r>
        <w:rPr/>
        <w:pict>
          <v:shape style="position:absolute;margin-left:63.904499pt;margin-top:-128.825668pt;width:224.55pt;height:229.1pt;mso-position-horizontal-relative:page;mso-position-vertical-relative:paragraph;z-index:15748096" type="#_x0000_t202" filled="false" stroked="true" strokeweight=".25pt" strokecolor="#cb4d2c">
            <v:textbox inset="0,0,0,0">
              <w:txbxContent>
                <w:p>
                  <w:pPr>
                    <w:spacing w:before="70"/>
                    <w:ind w:left="110" w:right="0" w:firstLine="0"/>
                    <w:jc w:val="left"/>
                    <w:rPr>
                      <w:i/>
                      <w:sz w:val="20"/>
                    </w:rPr>
                  </w:pPr>
                  <w:r>
                    <w:rPr>
                      <w:i/>
                      <w:color w:val="231F20"/>
                      <w:sz w:val="20"/>
                    </w:rPr>
                    <w:t>The following terms will be used hereafter:</w:t>
                  </w:r>
                </w:p>
                <w:p>
                  <w:pPr>
                    <w:spacing w:line="268" w:lineRule="auto" w:before="141"/>
                    <w:ind w:left="372" w:right="130" w:hanging="262"/>
                    <w:jc w:val="left"/>
                    <w:rPr>
                      <w:i/>
                      <w:sz w:val="20"/>
                    </w:rPr>
                  </w:pPr>
                  <w:r>
                    <w:rPr>
                      <w:i/>
                      <w:color w:val="CB4D2C"/>
                      <w:sz w:val="20"/>
                    </w:rPr>
                    <w:t>N: </w:t>
                  </w:r>
                  <w:r>
                    <w:rPr>
                      <w:i/>
                      <w:color w:val="231F20"/>
                      <w:sz w:val="20"/>
                    </w:rPr>
                    <w:t>Number of units including subscriptions and redemptions</w:t>
                  </w:r>
                </w:p>
                <w:p>
                  <w:pPr>
                    <w:spacing w:before="114"/>
                    <w:ind w:left="110" w:right="0" w:firstLine="0"/>
                    <w:jc w:val="left"/>
                    <w:rPr>
                      <w:i/>
                      <w:sz w:val="20"/>
                    </w:rPr>
                  </w:pPr>
                  <w:r>
                    <w:rPr>
                      <w:i/>
                      <w:color w:val="CB4D2C"/>
                      <w:sz w:val="20"/>
                    </w:rPr>
                    <w:t>S: </w:t>
                  </w:r>
                  <w:r>
                    <w:rPr>
                      <w:i/>
                      <w:color w:val="231F20"/>
                      <w:sz w:val="20"/>
                    </w:rPr>
                    <w:t>Number of units subscribed</w:t>
                  </w:r>
                </w:p>
                <w:p>
                  <w:pPr>
                    <w:spacing w:before="84"/>
                    <w:ind w:left="110" w:right="0" w:firstLine="0"/>
                    <w:jc w:val="left"/>
                    <w:rPr>
                      <w:i/>
                      <w:sz w:val="20"/>
                    </w:rPr>
                  </w:pPr>
                  <w:r>
                    <w:rPr>
                      <w:i/>
                      <w:color w:val="CB4D2C"/>
                      <w:sz w:val="20"/>
                    </w:rPr>
                    <w:t>R: </w:t>
                  </w:r>
                  <w:r>
                    <w:rPr>
                      <w:i/>
                      <w:color w:val="231F20"/>
                      <w:sz w:val="20"/>
                    </w:rPr>
                    <w:t>Number of units redeemed (R &gt; 0)</w:t>
                  </w:r>
                </w:p>
                <w:p>
                  <w:pPr>
                    <w:spacing w:line="220" w:lineRule="auto" w:before="95"/>
                    <w:ind w:left="851" w:right="830" w:hanging="741"/>
                    <w:jc w:val="left"/>
                    <w:rPr>
                      <w:i/>
                      <w:sz w:val="20"/>
                    </w:rPr>
                  </w:pPr>
                  <w:r>
                    <w:rPr>
                      <w:i/>
                      <w:color w:val="CB4D2C"/>
                      <w:sz w:val="20"/>
                    </w:rPr>
                    <w:t>NAV</w:t>
                  </w:r>
                  <w:r>
                    <w:rPr>
                      <w:i/>
                      <w:color w:val="CB4D2C"/>
                      <w:position w:val="-6"/>
                      <w:sz w:val="11"/>
                    </w:rPr>
                    <w:t>gross</w:t>
                  </w:r>
                  <w:r>
                    <w:rPr>
                      <w:i/>
                      <w:color w:val="CB4D2C"/>
                      <w:sz w:val="20"/>
                    </w:rPr>
                    <w:t>: </w:t>
                  </w:r>
                  <w:r>
                    <w:rPr>
                      <w:i/>
                      <w:color w:val="231F20"/>
                      <w:sz w:val="20"/>
                    </w:rPr>
                    <w:t>“Gross” unit value, calculated before Swing Pricing is applied</w:t>
                  </w:r>
                </w:p>
                <w:p>
                  <w:pPr>
                    <w:spacing w:line="220" w:lineRule="auto" w:before="100"/>
                    <w:ind w:left="908" w:right="929" w:hanging="798"/>
                    <w:jc w:val="left"/>
                    <w:rPr>
                      <w:i/>
                      <w:sz w:val="20"/>
                    </w:rPr>
                  </w:pPr>
                  <w:r>
                    <w:rPr>
                      <w:i/>
                      <w:color w:val="CB4D2C"/>
                      <w:spacing w:val="-3"/>
                      <w:sz w:val="20"/>
                    </w:rPr>
                    <w:t>NAV</w:t>
                  </w:r>
                  <w:r>
                    <w:rPr>
                      <w:i/>
                      <w:color w:val="CB4D2C"/>
                      <w:spacing w:val="-3"/>
                      <w:position w:val="-6"/>
                      <w:sz w:val="11"/>
                    </w:rPr>
                    <w:t>swung</w:t>
                  </w:r>
                  <w:r>
                    <w:rPr>
                      <w:i/>
                      <w:color w:val="CB4D2C"/>
                      <w:spacing w:val="-3"/>
                      <w:sz w:val="20"/>
                    </w:rPr>
                    <w:t>: </w:t>
                  </w:r>
                  <w:r>
                    <w:rPr>
                      <w:i/>
                      <w:color w:val="231F20"/>
                      <w:sz w:val="20"/>
                    </w:rPr>
                    <w:t>Net asset value per unit after Swing Pricing is</w:t>
                  </w:r>
                  <w:r>
                    <w:rPr>
                      <w:i/>
                      <w:color w:val="231F20"/>
                      <w:spacing w:val="-19"/>
                      <w:sz w:val="20"/>
                    </w:rPr>
                    <w:t> </w:t>
                  </w:r>
                  <w:r>
                    <w:rPr>
                      <w:i/>
                      <w:color w:val="231F20"/>
                      <w:sz w:val="20"/>
                    </w:rPr>
                    <w:t>applied</w:t>
                  </w:r>
                </w:p>
                <w:p>
                  <w:pPr>
                    <w:spacing w:line="220" w:lineRule="auto" w:before="99"/>
                    <w:ind w:left="1221" w:right="0" w:hanging="1111"/>
                    <w:jc w:val="left"/>
                    <w:rPr>
                      <w:i/>
                      <w:sz w:val="20"/>
                    </w:rPr>
                  </w:pPr>
                  <w:r>
                    <w:rPr>
                      <w:i/>
                      <w:color w:val="CB4D2C"/>
                      <w:sz w:val="20"/>
                    </w:rPr>
                    <w:t>ADL</w:t>
                  </w:r>
                  <w:r>
                    <w:rPr>
                      <w:i/>
                      <w:color w:val="CB4D2C"/>
                      <w:position w:val="-6"/>
                      <w:sz w:val="11"/>
                    </w:rPr>
                    <w:t>subscription</w:t>
                  </w:r>
                  <w:r>
                    <w:rPr>
                      <w:i/>
                      <w:color w:val="CB4D2C"/>
                      <w:sz w:val="20"/>
                    </w:rPr>
                    <w:t>: </w:t>
                  </w:r>
                  <w:r>
                    <w:rPr>
                      <w:i/>
                      <w:color w:val="231F20"/>
                      <w:sz w:val="20"/>
                    </w:rPr>
                    <w:t>ADLs per unit applicable to subscriptions</w:t>
                  </w:r>
                </w:p>
                <w:p>
                  <w:pPr>
                    <w:spacing w:line="271" w:lineRule="exact" w:before="89"/>
                    <w:ind w:left="110" w:right="0" w:firstLine="0"/>
                    <w:jc w:val="left"/>
                    <w:rPr>
                      <w:i/>
                      <w:sz w:val="20"/>
                    </w:rPr>
                  </w:pPr>
                  <w:r>
                    <w:rPr>
                      <w:i/>
                      <w:color w:val="CB4D2C"/>
                      <w:sz w:val="20"/>
                    </w:rPr>
                    <w:t>ADK</w:t>
                  </w:r>
                  <w:r>
                    <w:rPr>
                      <w:i/>
                      <w:color w:val="CB4D2C"/>
                      <w:position w:val="-6"/>
                      <w:sz w:val="11"/>
                    </w:rPr>
                    <w:t>redemption</w:t>
                  </w:r>
                  <w:r>
                    <w:rPr>
                      <w:i/>
                      <w:color w:val="CB4D2C"/>
                      <w:sz w:val="20"/>
                    </w:rPr>
                    <w:t>: </w:t>
                  </w:r>
                  <w:r>
                    <w:rPr>
                      <w:i/>
                      <w:color w:val="231F20"/>
                      <w:sz w:val="20"/>
                    </w:rPr>
                    <w:t>ADLs per unit applicable to</w:t>
                  </w:r>
                </w:p>
                <w:p>
                  <w:pPr>
                    <w:spacing w:line="221" w:lineRule="exact" w:before="0"/>
                    <w:ind w:left="1208" w:right="0" w:firstLine="0"/>
                    <w:jc w:val="left"/>
                    <w:rPr>
                      <w:i/>
                      <w:sz w:val="20"/>
                    </w:rPr>
                  </w:pPr>
                  <w:r>
                    <w:rPr>
                      <w:i/>
                      <w:color w:val="231F20"/>
                      <w:sz w:val="20"/>
                    </w:rPr>
                    <w:t>redemptions</w:t>
                  </w:r>
                </w:p>
                <w:p>
                  <w:pPr>
                    <w:spacing w:line="268" w:lineRule="auto" w:before="84"/>
                    <w:ind w:left="364" w:right="205" w:hanging="254"/>
                    <w:jc w:val="left"/>
                    <w:rPr>
                      <w:i/>
                      <w:sz w:val="20"/>
                    </w:rPr>
                  </w:pPr>
                  <w:r>
                    <w:rPr>
                      <w:i/>
                      <w:color w:val="CB4D2C"/>
                      <w:sz w:val="20"/>
                    </w:rPr>
                    <w:t>C: </w:t>
                  </w:r>
                  <w:r>
                    <w:rPr>
                      <w:i/>
                      <w:color w:val="231F20"/>
                      <w:sz w:val="20"/>
                    </w:rPr>
                    <w:t>Estimated cost of readjusting the portfolio (expressed as an amount)</w:t>
                  </w:r>
                </w:p>
              </w:txbxContent>
            </v:textbox>
            <v:stroke dashstyle="solid"/>
            <w10:wrap type="none"/>
          </v:shape>
        </w:pict>
      </w:r>
      <w:r>
        <w:rPr>
          <w:color w:val="231F20"/>
          <w:sz w:val="20"/>
        </w:rPr>
        <w:t>If </w:t>
      </w:r>
      <w:r>
        <w:rPr>
          <w:i/>
          <w:color w:val="CB4D2C"/>
          <w:sz w:val="20"/>
        </w:rPr>
        <w:t>S &lt; R: NAV</w:t>
      </w:r>
    </w:p>
    <w:p>
      <w:pPr>
        <w:pStyle w:val="BodyText"/>
        <w:spacing w:before="10"/>
        <w:rPr>
          <w:i/>
        </w:rPr>
      </w:pPr>
      <w:r>
        <w:rPr/>
        <w:br w:type="column"/>
      </w:r>
      <w:r>
        <w:rPr>
          <w:i/>
        </w:rPr>
      </w:r>
    </w:p>
    <w:p>
      <w:pPr>
        <w:spacing w:before="0"/>
        <w:ind w:left="-38" w:right="0" w:firstLine="0"/>
        <w:jc w:val="left"/>
        <w:rPr>
          <w:i/>
          <w:sz w:val="11"/>
        </w:rPr>
      </w:pPr>
      <w:r>
        <w:rPr>
          <w:i/>
          <w:color w:val="CB4D2C"/>
          <w:w w:val="105"/>
          <w:sz w:val="11"/>
        </w:rPr>
        <w:t>swung</w:t>
      </w:r>
    </w:p>
    <w:p>
      <w:pPr>
        <w:spacing w:before="91"/>
        <w:ind w:left="22" w:right="0" w:firstLine="0"/>
        <w:jc w:val="left"/>
        <w:rPr>
          <w:i/>
          <w:sz w:val="20"/>
        </w:rPr>
      </w:pPr>
      <w:r>
        <w:rPr/>
        <w:br w:type="column"/>
      </w:r>
      <w:r>
        <w:rPr>
          <w:i/>
          <w:color w:val="CB4D2C"/>
          <w:sz w:val="20"/>
        </w:rPr>
        <w:t>= </w:t>
      </w:r>
      <w:r>
        <w:rPr>
          <w:i/>
          <w:color w:val="CB4D2C"/>
          <w:spacing w:val="-14"/>
          <w:sz w:val="20"/>
        </w:rPr>
        <w:t>NAV</w:t>
      </w:r>
    </w:p>
    <w:p>
      <w:pPr>
        <w:pStyle w:val="BodyText"/>
        <w:spacing w:before="10"/>
        <w:rPr>
          <w:i/>
        </w:rPr>
      </w:pPr>
      <w:r>
        <w:rPr/>
        <w:br w:type="column"/>
      </w:r>
      <w:r>
        <w:rPr>
          <w:i/>
        </w:rPr>
      </w:r>
    </w:p>
    <w:p>
      <w:pPr>
        <w:spacing w:before="0"/>
        <w:ind w:left="-38" w:right="0" w:firstLine="0"/>
        <w:jc w:val="left"/>
        <w:rPr>
          <w:i/>
          <w:sz w:val="11"/>
        </w:rPr>
      </w:pPr>
      <w:r>
        <w:rPr>
          <w:i/>
          <w:color w:val="CB4D2C"/>
          <w:w w:val="105"/>
          <w:sz w:val="11"/>
        </w:rPr>
        <w:t>gross</w:t>
      </w:r>
    </w:p>
    <w:p>
      <w:pPr>
        <w:spacing w:before="91"/>
        <w:ind w:left="22" w:right="0" w:firstLine="0"/>
        <w:jc w:val="left"/>
        <w:rPr>
          <w:i/>
          <w:sz w:val="20"/>
        </w:rPr>
      </w:pPr>
      <w:r>
        <w:rPr/>
        <w:br w:type="column"/>
      </w:r>
      <w:r>
        <w:rPr>
          <w:i/>
          <w:color w:val="CB4D2C"/>
          <w:sz w:val="20"/>
        </w:rPr>
        <w:t>- C / (R – S)</w:t>
      </w:r>
    </w:p>
    <w:p>
      <w:pPr>
        <w:spacing w:after="0"/>
        <w:jc w:val="left"/>
        <w:rPr>
          <w:sz w:val="20"/>
        </w:rPr>
        <w:sectPr>
          <w:type w:val="continuous"/>
          <w:pgSz w:w="11910" w:h="16840"/>
          <w:pgMar w:top="1580" w:bottom="280" w:left="340" w:right="360"/>
          <w:cols w:num="5" w:equalWidth="0">
            <w:col w:w="7079" w:space="40"/>
            <w:col w:w="290" w:space="39"/>
            <w:col w:w="538" w:space="40"/>
            <w:col w:w="233" w:space="40"/>
            <w:col w:w="2911"/>
          </w:cols>
        </w:sectPr>
      </w:pPr>
    </w:p>
    <w:p>
      <w:pPr>
        <w:pStyle w:val="BodyText"/>
        <w:spacing w:before="9"/>
        <w:rPr>
          <w:i/>
          <w:sz w:val="28"/>
        </w:rPr>
      </w:pPr>
    </w:p>
    <w:p>
      <w:pPr>
        <w:spacing w:after="0"/>
        <w:rPr>
          <w:sz w:val="28"/>
        </w:rPr>
        <w:sectPr>
          <w:type w:val="continuous"/>
          <w:pgSz w:w="11910" w:h="16840"/>
          <w:pgMar w:top="1580" w:bottom="280" w:left="340" w:right="360"/>
        </w:sect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spacing w:line="268" w:lineRule="auto" w:before="131"/>
        <w:ind w:left="935" w:right="2"/>
        <w:jc w:val="both"/>
      </w:pPr>
      <w:r>
        <w:rPr>
          <w:color w:val="231F20"/>
        </w:rPr>
        <w:t>For illustrative purposes, examples consistent with these principles are set out in Appendix 2.</w:t>
      </w:r>
    </w:p>
    <w:p>
      <w:pPr>
        <w:pStyle w:val="BodyText"/>
        <w:rPr>
          <w:sz w:val="22"/>
        </w:rPr>
      </w:pPr>
    </w:p>
    <w:p>
      <w:pPr>
        <w:pStyle w:val="BodyText"/>
        <w:spacing w:before="1"/>
        <w:rPr>
          <w:sz w:val="17"/>
        </w:rPr>
      </w:pPr>
    </w:p>
    <w:p>
      <w:pPr>
        <w:pStyle w:val="Heading3"/>
        <w:spacing w:line="268" w:lineRule="auto"/>
        <w:ind w:left="1506" w:right="378" w:hanging="571"/>
        <w:jc w:val="both"/>
      </w:pPr>
      <w:r>
        <w:rPr>
          <w:color w:val="CB4D2C"/>
        </w:rPr>
        <w:t>3.1.1 Estimating the total cost arising from subscriptions and redemptions</w:t>
      </w:r>
    </w:p>
    <w:p>
      <w:pPr>
        <w:pStyle w:val="BodyText"/>
        <w:spacing w:line="268" w:lineRule="auto" w:before="113"/>
        <w:ind w:left="935" w:right="1"/>
        <w:jc w:val="both"/>
      </w:pPr>
      <w:r>
        <w:rPr>
          <w:color w:val="231F20"/>
        </w:rPr>
        <w:t>The estimated cost of readjusting the portfolio   is calculated based on the net balance of sub- scriptions and</w:t>
      </w:r>
      <w:r>
        <w:rPr>
          <w:color w:val="231F20"/>
          <w:spacing w:val="8"/>
        </w:rPr>
        <w:t> </w:t>
      </w:r>
      <w:r>
        <w:rPr>
          <w:color w:val="231F20"/>
          <w:spacing w:val="2"/>
        </w:rPr>
        <w:t>redemptions.</w:t>
      </w:r>
    </w:p>
    <w:p>
      <w:pPr>
        <w:pStyle w:val="BodyText"/>
        <w:spacing w:before="113"/>
        <w:ind w:left="1086" w:hanging="152"/>
        <w:jc w:val="both"/>
      </w:pPr>
      <w:r>
        <w:rPr>
          <w:color w:val="231F20"/>
        </w:rPr>
        <w:t>This readjustment cost may reflect the following:</w:t>
      </w:r>
    </w:p>
    <w:p>
      <w:pPr>
        <w:pStyle w:val="BodyText"/>
        <w:spacing w:line="268" w:lineRule="auto" w:before="85"/>
        <w:ind w:left="1086"/>
      </w:pPr>
      <w:r>
        <w:rPr/>
        <w:pict>
          <v:rect style="position:absolute;margin-left:63.779999pt;margin-top:8.741652pt;width:3.898pt;height:3.898pt;mso-position-horizontal-relative:page;mso-position-vertical-relative:paragraph;z-index:15743488" filled="true" fillcolor="#cb4d2c" stroked="false">
            <v:fill type="solid"/>
            <w10:wrap type="none"/>
          </v:rect>
        </w:pict>
      </w:r>
      <w:r>
        <w:rPr>
          <w:color w:val="231F20"/>
        </w:rPr>
        <w:t>Transactions actually undertaken in connection with subscriptions or redemptions;</w:t>
      </w:r>
    </w:p>
    <w:p>
      <w:pPr>
        <w:pStyle w:val="BodyText"/>
        <w:spacing w:line="268" w:lineRule="auto" w:before="56"/>
        <w:ind w:left="1086"/>
      </w:pPr>
      <w:r>
        <w:rPr/>
        <w:pict>
          <v:rect style="position:absolute;margin-left:63.779999pt;margin-top:7.292041pt;width:3.898pt;height:3.898pt;mso-position-horizontal-relative:page;mso-position-vertical-relative:paragraph;z-index:15744000" filled="true" fillcolor="#cb4d2c" stroked="false">
            <v:fill type="solid"/>
            <w10:wrap type="none"/>
          </v:rect>
        </w:pict>
      </w:r>
      <w:r>
        <w:rPr>
          <w:color w:val="231F20"/>
        </w:rPr>
        <w:t>A theoretical investment or disinvestment in proportion to existing assets in the portfolio;</w:t>
      </w:r>
    </w:p>
    <w:p>
      <w:pPr>
        <w:pStyle w:val="BodyText"/>
        <w:spacing w:line="268" w:lineRule="auto" w:before="57"/>
        <w:ind w:left="1086"/>
      </w:pPr>
      <w:r>
        <w:rPr/>
        <w:pict>
          <v:rect style="position:absolute;margin-left:63.779999pt;margin-top:7.341347pt;width:3.898pt;height:3.898pt;mso-position-horizontal-relative:page;mso-position-vertical-relative:paragraph;z-index:15744512" filled="true" fillcolor="#cb4d2c" stroked="false">
            <v:fill type="solid"/>
            <w10:wrap type="none"/>
          </v:rect>
        </w:pict>
      </w:r>
      <w:r>
        <w:rPr>
          <w:color w:val="231F20"/>
        </w:rPr>
        <w:t>A theoretical investment or disinvestment in proportion to the fund’s benchmark.</w:t>
      </w:r>
    </w:p>
    <w:p>
      <w:pPr>
        <w:pStyle w:val="BodyText"/>
        <w:spacing w:line="268" w:lineRule="auto" w:before="113"/>
        <w:ind w:left="935" w:right="1"/>
        <w:jc w:val="both"/>
      </w:pPr>
      <w:r>
        <w:rPr>
          <w:color w:val="231F20"/>
        </w:rPr>
        <w:t>The management company may base its calcula- tion of this portfolio readjustment cost on costs (transaction fees, bid-ask spreads, taxes, settle- ment charges) by asset class, market segment</w:t>
      </w:r>
    </w:p>
    <w:p>
      <w:pPr>
        <w:pStyle w:val="Heading3"/>
        <w:numPr>
          <w:ilvl w:val="2"/>
          <w:numId w:val="4"/>
        </w:numPr>
        <w:tabs>
          <w:tab w:pos="900" w:val="left" w:leader="none"/>
        </w:tabs>
        <w:spacing w:line="268" w:lineRule="auto" w:before="101" w:after="0"/>
        <w:ind w:left="899" w:right="913" w:hanging="571"/>
        <w:jc w:val="both"/>
      </w:pPr>
      <w:r>
        <w:rPr>
          <w:color w:val="CB4D2C"/>
          <w:spacing w:val="-2"/>
        </w:rPr>
        <w:br w:type="column"/>
      </w:r>
      <w:r>
        <w:rPr>
          <w:color w:val="CB4D2C"/>
        </w:rPr>
        <w:t>Cost</w:t>
      </w:r>
      <w:r>
        <w:rPr>
          <w:color w:val="CB4D2C"/>
          <w:spacing w:val="-23"/>
        </w:rPr>
        <w:t> </w:t>
      </w:r>
      <w:r>
        <w:rPr>
          <w:color w:val="CB4D2C"/>
        </w:rPr>
        <w:t>allocation:</w:t>
      </w:r>
      <w:r>
        <w:rPr>
          <w:color w:val="CB4D2C"/>
          <w:spacing w:val="-22"/>
        </w:rPr>
        <w:t> </w:t>
      </w:r>
      <w:r>
        <w:rPr>
          <w:color w:val="CB4D2C"/>
        </w:rPr>
        <w:t>swing</w:t>
      </w:r>
      <w:r>
        <w:rPr>
          <w:color w:val="CB4D2C"/>
          <w:spacing w:val="-22"/>
        </w:rPr>
        <w:t> </w:t>
      </w:r>
      <w:r>
        <w:rPr>
          <w:color w:val="CB4D2C"/>
        </w:rPr>
        <w:t>Pricing</w:t>
      </w:r>
      <w:r>
        <w:rPr>
          <w:color w:val="CB4D2C"/>
          <w:spacing w:val="-22"/>
        </w:rPr>
        <w:t> </w:t>
      </w:r>
      <w:r>
        <w:rPr>
          <w:color w:val="CB4D2C"/>
        </w:rPr>
        <w:t>with</w:t>
      </w:r>
      <w:r>
        <w:rPr>
          <w:color w:val="CB4D2C"/>
          <w:spacing w:val="-22"/>
        </w:rPr>
        <w:t> </w:t>
      </w:r>
      <w:r>
        <w:rPr>
          <w:color w:val="CB4D2C"/>
        </w:rPr>
        <w:t>a</w:t>
      </w:r>
      <w:r>
        <w:rPr>
          <w:color w:val="CB4D2C"/>
          <w:spacing w:val="-22"/>
        </w:rPr>
        <w:t> </w:t>
      </w:r>
      <w:r>
        <w:rPr>
          <w:color w:val="CB4D2C"/>
          <w:spacing w:val="-3"/>
        </w:rPr>
        <w:t>trigger threshold (“partial” </w:t>
      </w:r>
      <w:r>
        <w:rPr>
          <w:color w:val="CB4D2C"/>
        </w:rPr>
        <w:t>swing</w:t>
      </w:r>
      <w:r>
        <w:rPr>
          <w:color w:val="CB4D2C"/>
          <w:spacing w:val="-10"/>
        </w:rPr>
        <w:t> </w:t>
      </w:r>
      <w:r>
        <w:rPr>
          <w:color w:val="CB4D2C"/>
        </w:rPr>
        <w:t>Pricing)</w:t>
      </w:r>
    </w:p>
    <w:p>
      <w:pPr>
        <w:pStyle w:val="BodyText"/>
        <w:spacing w:line="268" w:lineRule="auto" w:before="113"/>
        <w:ind w:left="329" w:right="911"/>
        <w:jc w:val="both"/>
      </w:pPr>
      <w:r>
        <w:rPr>
          <w:color w:val="231F20"/>
        </w:rPr>
        <w:t>In the case of a Swing Pricing mechanism with     a trigger threshold, Swing Pricing is applied to  all assets but only beyond a certain</w:t>
      </w:r>
      <w:r>
        <w:rPr>
          <w:color w:val="231F20"/>
          <w:spacing w:val="44"/>
        </w:rPr>
        <w:t> </w:t>
      </w:r>
      <w:r>
        <w:rPr>
          <w:color w:val="231F20"/>
        </w:rPr>
        <w:t>threshold:</w:t>
      </w:r>
    </w:p>
    <w:p>
      <w:pPr>
        <w:spacing w:line="271" w:lineRule="exact" w:before="113"/>
        <w:ind w:left="480" w:right="0" w:firstLine="0"/>
        <w:jc w:val="left"/>
        <w:rPr>
          <w:i/>
          <w:sz w:val="11"/>
        </w:rPr>
      </w:pPr>
      <w:r>
        <w:rPr/>
        <w:pict>
          <v:rect style="position:absolute;margin-left:306.990997pt;margin-top:10.141450pt;width:3.898pt;height:3.898pt;mso-position-horizontal-relative:page;mso-position-vertical-relative:paragraph;z-index:15746560" filled="true" fillcolor="#cb4d2c" stroked="false">
            <v:fill type="solid"/>
            <w10:wrap type="none"/>
          </v:rect>
        </w:pict>
      </w:r>
      <w:r>
        <w:rPr>
          <w:color w:val="231F20"/>
          <w:sz w:val="20"/>
        </w:rPr>
        <w:t>If </w:t>
      </w:r>
      <w:r>
        <w:rPr>
          <w:i/>
          <w:color w:val="CB4D2C"/>
          <w:sz w:val="20"/>
        </w:rPr>
        <w:t>S - R &gt; THRESHOLD</w:t>
      </w:r>
      <w:r>
        <w:rPr>
          <w:i/>
          <w:color w:val="CB4D2C"/>
          <w:position w:val="-6"/>
          <w:sz w:val="11"/>
        </w:rPr>
        <w:t>subscription</w:t>
      </w:r>
      <w:r>
        <w:rPr>
          <w:i/>
          <w:color w:val="CB4D2C"/>
          <w:sz w:val="20"/>
        </w:rPr>
        <w:t>: NAV</w:t>
      </w:r>
      <w:r>
        <w:rPr>
          <w:i/>
          <w:color w:val="CB4D2C"/>
          <w:position w:val="-6"/>
          <w:sz w:val="11"/>
        </w:rPr>
        <w:t>swung</w:t>
      </w:r>
    </w:p>
    <w:p>
      <w:pPr>
        <w:spacing w:line="225" w:lineRule="auto" w:before="0"/>
        <w:ind w:left="480" w:right="0" w:firstLine="0"/>
        <w:jc w:val="left"/>
        <w:rPr>
          <w:i/>
          <w:sz w:val="20"/>
        </w:rPr>
      </w:pPr>
      <w:r>
        <w:rPr>
          <w:i/>
          <w:color w:val="CB4D2C"/>
          <w:sz w:val="20"/>
        </w:rPr>
        <w:t>= NAV</w:t>
      </w:r>
      <w:r>
        <w:rPr>
          <w:i/>
          <w:color w:val="CB4D2C"/>
          <w:position w:val="-6"/>
          <w:sz w:val="11"/>
        </w:rPr>
        <w:t>gross </w:t>
      </w:r>
      <w:r>
        <w:rPr>
          <w:i/>
          <w:color w:val="CB4D2C"/>
          <w:sz w:val="20"/>
        </w:rPr>
        <w:t>+ C / (S – R)</w:t>
      </w:r>
    </w:p>
    <w:p>
      <w:pPr>
        <w:spacing w:line="269" w:lineRule="exact" w:before="94"/>
        <w:ind w:left="480" w:right="0" w:firstLine="0"/>
        <w:jc w:val="left"/>
        <w:rPr>
          <w:i/>
          <w:sz w:val="20"/>
        </w:rPr>
      </w:pPr>
      <w:r>
        <w:rPr/>
        <w:pict>
          <v:rect style="position:absolute;margin-left:306.990997pt;margin-top:9.192139pt;width:3.898pt;height:3.898pt;mso-position-horizontal-relative:page;mso-position-vertical-relative:paragraph;z-index:15747072" filled="true" fillcolor="#cb4d2c" stroked="false">
            <v:fill type="solid"/>
            <w10:wrap type="none"/>
          </v:rect>
        </w:pict>
      </w:r>
      <w:r>
        <w:rPr>
          <w:color w:val="231F20"/>
          <w:sz w:val="20"/>
        </w:rPr>
        <w:t>If </w:t>
      </w:r>
      <w:r>
        <w:rPr>
          <w:i/>
          <w:color w:val="CB4D2C"/>
          <w:sz w:val="20"/>
        </w:rPr>
        <w:t>THRESHOLD</w:t>
      </w:r>
      <w:r>
        <w:rPr>
          <w:i/>
          <w:color w:val="CB4D2C"/>
          <w:position w:val="-6"/>
          <w:sz w:val="11"/>
        </w:rPr>
        <w:t>subscription </w:t>
      </w:r>
      <w:r>
        <w:rPr>
          <w:i/>
          <w:color w:val="CB4D2C"/>
          <w:sz w:val="20"/>
        </w:rPr>
        <w:t>≥ S - R</w:t>
      </w:r>
    </w:p>
    <w:p>
      <w:pPr>
        <w:spacing w:line="269" w:lineRule="exact" w:before="0"/>
        <w:ind w:left="480" w:right="0" w:firstLine="0"/>
        <w:jc w:val="left"/>
        <w:rPr>
          <w:i/>
          <w:sz w:val="11"/>
        </w:rPr>
      </w:pPr>
      <w:r>
        <w:rPr>
          <w:i/>
          <w:color w:val="CB4D2C"/>
          <w:position w:val="7"/>
          <w:sz w:val="20"/>
        </w:rPr>
        <w:t>≥ THRESHOLD</w:t>
      </w:r>
      <w:r>
        <w:rPr>
          <w:i/>
          <w:color w:val="CB4D2C"/>
          <w:sz w:val="11"/>
        </w:rPr>
        <w:t>redemption</w:t>
      </w:r>
      <w:r>
        <w:rPr>
          <w:i/>
          <w:color w:val="CB4D2C"/>
          <w:position w:val="7"/>
          <w:sz w:val="20"/>
        </w:rPr>
        <w:t>: NAV</w:t>
      </w:r>
      <w:r>
        <w:rPr>
          <w:i/>
          <w:color w:val="CB4D2C"/>
          <w:sz w:val="11"/>
        </w:rPr>
        <w:t>swung </w:t>
      </w:r>
      <w:r>
        <w:rPr>
          <w:i/>
          <w:color w:val="CB4D2C"/>
          <w:position w:val="7"/>
          <w:sz w:val="20"/>
        </w:rPr>
        <w:t>= NAV</w:t>
      </w:r>
      <w:r>
        <w:rPr>
          <w:i/>
          <w:color w:val="CB4D2C"/>
          <w:sz w:val="11"/>
        </w:rPr>
        <w:t>gross</w:t>
      </w:r>
    </w:p>
    <w:p>
      <w:pPr>
        <w:spacing w:line="271" w:lineRule="exact" w:before="94"/>
        <w:ind w:left="480" w:right="0" w:firstLine="0"/>
        <w:jc w:val="left"/>
        <w:rPr>
          <w:i/>
          <w:sz w:val="11"/>
        </w:rPr>
      </w:pPr>
      <w:r>
        <w:rPr/>
        <w:pict>
          <v:rect style="position:absolute;margin-left:306.990997pt;margin-top:9.191842pt;width:3.898pt;height:3.898pt;mso-position-horizontal-relative:page;mso-position-vertical-relative:paragraph;z-index:15747584" filled="true" fillcolor="#cb4d2c" stroked="false">
            <v:fill type="solid"/>
            <w10:wrap type="none"/>
          </v:rect>
        </w:pict>
      </w:r>
      <w:r>
        <w:rPr>
          <w:color w:val="231F20"/>
          <w:sz w:val="20"/>
        </w:rPr>
        <w:t>If </w:t>
      </w:r>
      <w:r>
        <w:rPr>
          <w:i/>
          <w:color w:val="CB4D2C"/>
          <w:sz w:val="20"/>
        </w:rPr>
        <w:t>THRESHOLD</w:t>
      </w:r>
      <w:r>
        <w:rPr>
          <w:i/>
          <w:color w:val="CB4D2C"/>
          <w:position w:val="-6"/>
          <w:sz w:val="11"/>
        </w:rPr>
        <w:t>redemption </w:t>
      </w:r>
      <w:r>
        <w:rPr>
          <w:i/>
          <w:color w:val="CB4D2C"/>
          <w:sz w:val="20"/>
        </w:rPr>
        <w:t>&gt; S - R : NAV</w:t>
      </w:r>
      <w:r>
        <w:rPr>
          <w:i/>
          <w:color w:val="CB4D2C"/>
          <w:position w:val="-6"/>
          <w:sz w:val="11"/>
        </w:rPr>
        <w:t>swung</w:t>
      </w:r>
    </w:p>
    <w:p>
      <w:pPr>
        <w:spacing w:line="225" w:lineRule="auto" w:before="0"/>
        <w:ind w:left="480" w:right="0" w:firstLine="0"/>
        <w:jc w:val="left"/>
        <w:rPr>
          <w:i/>
          <w:sz w:val="20"/>
        </w:rPr>
      </w:pPr>
      <w:r>
        <w:rPr>
          <w:i/>
          <w:color w:val="CB4D2C"/>
          <w:sz w:val="20"/>
        </w:rPr>
        <w:t>= NAV</w:t>
      </w:r>
      <w:r>
        <w:rPr>
          <w:i/>
          <w:color w:val="CB4D2C"/>
          <w:position w:val="-6"/>
          <w:sz w:val="11"/>
        </w:rPr>
        <w:t>gross </w:t>
      </w:r>
      <w:r>
        <w:rPr>
          <w:i/>
          <w:color w:val="CB4D2C"/>
          <w:sz w:val="20"/>
        </w:rPr>
        <w:t>- C / (R – S)</w:t>
      </w:r>
    </w:p>
    <w:p>
      <w:pPr>
        <w:pStyle w:val="BodyText"/>
        <w:spacing w:line="268" w:lineRule="auto" w:before="94"/>
        <w:ind w:left="329" w:right="915"/>
        <w:jc w:val="both"/>
      </w:pPr>
      <w:r>
        <w:rPr>
          <w:color w:val="231F20"/>
          <w:spacing w:val="-4"/>
        </w:rPr>
        <w:t>Rules </w:t>
      </w:r>
      <w:r>
        <w:rPr>
          <w:color w:val="231F20"/>
        </w:rPr>
        <w:t>governing the </w:t>
      </w:r>
      <w:r>
        <w:rPr>
          <w:color w:val="231F20"/>
          <w:spacing w:val="-3"/>
        </w:rPr>
        <w:t>definition </w:t>
      </w:r>
      <w:r>
        <w:rPr>
          <w:color w:val="231F20"/>
        </w:rPr>
        <w:t>of </w:t>
      </w:r>
      <w:r>
        <w:rPr>
          <w:color w:val="231F20"/>
          <w:spacing w:val="-3"/>
        </w:rPr>
        <w:t>thresholds </w:t>
      </w:r>
      <w:r>
        <w:rPr>
          <w:color w:val="231F20"/>
          <w:spacing w:val="-2"/>
        </w:rPr>
        <w:t>should </w:t>
      </w:r>
      <w:r>
        <w:rPr>
          <w:color w:val="231F20"/>
        </w:rPr>
        <w:t>be laid </w:t>
      </w:r>
      <w:r>
        <w:rPr>
          <w:color w:val="231F20"/>
          <w:spacing w:val="-3"/>
        </w:rPr>
        <w:t>down </w:t>
      </w:r>
      <w:r>
        <w:rPr>
          <w:color w:val="231F20"/>
        </w:rPr>
        <w:t>in the Swing </w:t>
      </w:r>
      <w:r>
        <w:rPr>
          <w:color w:val="231F20"/>
          <w:spacing w:val="-4"/>
        </w:rPr>
        <w:t>Pricing </w:t>
      </w:r>
      <w:r>
        <w:rPr>
          <w:color w:val="231F20"/>
          <w:spacing w:val="-6"/>
        </w:rPr>
        <w:t>policy. </w:t>
      </w:r>
      <w:r>
        <w:rPr>
          <w:color w:val="231F20"/>
          <w:spacing w:val="-3"/>
        </w:rPr>
        <w:t>These </w:t>
      </w:r>
      <w:r>
        <w:rPr>
          <w:color w:val="231F20"/>
        </w:rPr>
        <w:t>rules</w:t>
      </w:r>
      <w:r>
        <w:rPr>
          <w:color w:val="231F20"/>
          <w:spacing w:val="-15"/>
        </w:rPr>
        <w:t> </w:t>
      </w:r>
      <w:r>
        <w:rPr>
          <w:color w:val="231F20"/>
        </w:rPr>
        <w:t>may</w:t>
      </w:r>
      <w:r>
        <w:rPr>
          <w:color w:val="231F20"/>
          <w:spacing w:val="-15"/>
        </w:rPr>
        <w:t> </w:t>
      </w:r>
      <w:r>
        <w:rPr>
          <w:color w:val="231F20"/>
          <w:spacing w:val="-3"/>
        </w:rPr>
        <w:t>allow</w:t>
      </w:r>
      <w:r>
        <w:rPr>
          <w:color w:val="231F20"/>
          <w:spacing w:val="-15"/>
        </w:rPr>
        <w:t> </w:t>
      </w:r>
      <w:r>
        <w:rPr>
          <w:color w:val="231F20"/>
        </w:rPr>
        <w:t>for</w:t>
      </w:r>
      <w:r>
        <w:rPr>
          <w:color w:val="231F20"/>
          <w:spacing w:val="-15"/>
        </w:rPr>
        <w:t> </w:t>
      </w:r>
      <w:r>
        <w:rPr>
          <w:color w:val="231F20"/>
        </w:rPr>
        <w:t>variable</w:t>
      </w:r>
      <w:r>
        <w:rPr>
          <w:color w:val="231F20"/>
          <w:spacing w:val="-15"/>
        </w:rPr>
        <w:t> </w:t>
      </w:r>
      <w:r>
        <w:rPr>
          <w:color w:val="231F20"/>
          <w:spacing w:val="-3"/>
        </w:rPr>
        <w:t>thresholds</w:t>
      </w:r>
      <w:r>
        <w:rPr>
          <w:color w:val="231F20"/>
          <w:spacing w:val="-15"/>
        </w:rPr>
        <w:t> </w:t>
      </w:r>
      <w:r>
        <w:rPr>
          <w:color w:val="231F20"/>
          <w:spacing w:val="-3"/>
        </w:rPr>
        <w:t>(depending, </w:t>
      </w:r>
      <w:r>
        <w:rPr>
          <w:color w:val="231F20"/>
        </w:rPr>
        <w:t>in </w:t>
      </w:r>
      <w:r>
        <w:rPr>
          <w:color w:val="231F20"/>
          <w:spacing w:val="-6"/>
        </w:rPr>
        <w:t>particular, </w:t>
      </w:r>
      <w:r>
        <w:rPr>
          <w:color w:val="231F20"/>
        </w:rPr>
        <w:t>on liquidity </w:t>
      </w:r>
      <w:r>
        <w:rPr>
          <w:color w:val="231F20"/>
          <w:spacing w:val="-3"/>
        </w:rPr>
        <w:t>conditions) </w:t>
      </w:r>
      <w:r>
        <w:rPr>
          <w:color w:val="231F20"/>
        </w:rPr>
        <w:t>so </w:t>
      </w:r>
      <w:r>
        <w:rPr>
          <w:color w:val="231F20"/>
          <w:spacing w:val="-3"/>
        </w:rPr>
        <w:t>that the mechanism </w:t>
      </w:r>
      <w:r>
        <w:rPr>
          <w:color w:val="231F20"/>
        </w:rPr>
        <w:t>can be </w:t>
      </w:r>
      <w:r>
        <w:rPr>
          <w:color w:val="231F20"/>
          <w:spacing w:val="-3"/>
        </w:rPr>
        <w:t>adjusted </w:t>
      </w:r>
      <w:r>
        <w:rPr>
          <w:color w:val="231F20"/>
        </w:rPr>
        <w:t>in line </w:t>
      </w:r>
      <w:r>
        <w:rPr>
          <w:color w:val="231F20"/>
          <w:spacing w:val="-3"/>
        </w:rPr>
        <w:t>with market conditions, thus </w:t>
      </w:r>
      <w:r>
        <w:rPr>
          <w:color w:val="231F20"/>
        </w:rPr>
        <w:t>limiting the </w:t>
      </w:r>
      <w:r>
        <w:rPr>
          <w:color w:val="231F20"/>
          <w:spacing w:val="-3"/>
        </w:rPr>
        <w:t>possibility </w:t>
      </w:r>
      <w:r>
        <w:rPr>
          <w:color w:val="231F20"/>
        </w:rPr>
        <w:t>of an in- vestor</w:t>
      </w:r>
      <w:r>
        <w:rPr>
          <w:color w:val="231F20"/>
          <w:spacing w:val="-5"/>
        </w:rPr>
        <w:t> </w:t>
      </w:r>
      <w:r>
        <w:rPr>
          <w:color w:val="231F20"/>
        </w:rPr>
        <w:t>optimising</w:t>
      </w:r>
      <w:r>
        <w:rPr>
          <w:color w:val="231F20"/>
          <w:spacing w:val="-5"/>
        </w:rPr>
        <w:t> </w:t>
      </w:r>
      <w:r>
        <w:rPr>
          <w:color w:val="231F20"/>
        </w:rPr>
        <w:t>his</w:t>
      </w:r>
      <w:r>
        <w:rPr>
          <w:color w:val="231F20"/>
          <w:spacing w:val="-44"/>
        </w:rPr>
        <w:t> </w:t>
      </w:r>
      <w:r>
        <w:rPr>
          <w:color w:val="231F20"/>
        </w:rPr>
        <w:t>/</w:t>
      </w:r>
      <w:r>
        <w:rPr>
          <w:color w:val="231F20"/>
          <w:spacing w:val="-42"/>
        </w:rPr>
        <w:t> </w:t>
      </w:r>
      <w:r>
        <w:rPr>
          <w:color w:val="231F20"/>
        </w:rPr>
        <w:t>her</w:t>
      </w:r>
      <w:r>
        <w:rPr>
          <w:color w:val="231F20"/>
          <w:spacing w:val="-5"/>
        </w:rPr>
        <w:t> </w:t>
      </w:r>
      <w:r>
        <w:rPr>
          <w:color w:val="231F20"/>
          <w:spacing w:val="-3"/>
        </w:rPr>
        <w:t>transactions</w:t>
      </w:r>
      <w:r>
        <w:rPr>
          <w:color w:val="231F20"/>
          <w:spacing w:val="-5"/>
        </w:rPr>
        <w:t> </w:t>
      </w:r>
      <w:r>
        <w:rPr>
          <w:color w:val="231F20"/>
        </w:rPr>
        <w:t>by</w:t>
      </w:r>
      <w:r>
        <w:rPr>
          <w:color w:val="231F20"/>
          <w:spacing w:val="-4"/>
        </w:rPr>
        <w:t> </w:t>
      </w:r>
      <w:r>
        <w:rPr>
          <w:color w:val="231F20"/>
        </w:rPr>
        <w:t>virtue</w:t>
      </w:r>
      <w:r>
        <w:rPr>
          <w:color w:val="231F20"/>
          <w:spacing w:val="-5"/>
        </w:rPr>
        <w:t> </w:t>
      </w:r>
      <w:r>
        <w:rPr>
          <w:color w:val="231F20"/>
        </w:rPr>
        <w:t>of his</w:t>
      </w:r>
      <w:r>
        <w:rPr>
          <w:color w:val="231F20"/>
          <w:spacing w:val="-41"/>
        </w:rPr>
        <w:t> </w:t>
      </w:r>
      <w:r>
        <w:rPr>
          <w:color w:val="231F20"/>
        </w:rPr>
        <w:t>/</w:t>
      </w:r>
      <w:r>
        <w:rPr>
          <w:color w:val="231F20"/>
          <w:spacing w:val="-40"/>
        </w:rPr>
        <w:t> </w:t>
      </w:r>
      <w:r>
        <w:rPr>
          <w:color w:val="231F20"/>
        </w:rPr>
        <w:t>her</w:t>
      </w:r>
      <w:r>
        <w:rPr>
          <w:color w:val="231F20"/>
          <w:spacing w:val="-6"/>
        </w:rPr>
        <w:t> </w:t>
      </w:r>
      <w:r>
        <w:rPr>
          <w:color w:val="231F20"/>
          <w:spacing w:val="-3"/>
        </w:rPr>
        <w:t>knowledge</w:t>
      </w:r>
      <w:r>
        <w:rPr>
          <w:color w:val="231F20"/>
          <w:spacing w:val="-5"/>
        </w:rPr>
        <w:t> </w:t>
      </w:r>
      <w:r>
        <w:rPr>
          <w:color w:val="231F20"/>
        </w:rPr>
        <w:t>of</w:t>
      </w:r>
      <w:r>
        <w:rPr>
          <w:color w:val="231F20"/>
          <w:spacing w:val="-5"/>
        </w:rPr>
        <w:t> </w:t>
      </w:r>
      <w:r>
        <w:rPr>
          <w:color w:val="231F20"/>
        </w:rPr>
        <w:t>the</w:t>
      </w:r>
      <w:r>
        <w:rPr>
          <w:color w:val="231F20"/>
          <w:spacing w:val="-6"/>
        </w:rPr>
        <w:t> </w:t>
      </w:r>
      <w:r>
        <w:rPr>
          <w:color w:val="231F20"/>
          <w:spacing w:val="-3"/>
        </w:rPr>
        <w:t>mechanism.</w:t>
      </w:r>
    </w:p>
    <w:p>
      <w:pPr>
        <w:pStyle w:val="BodyText"/>
        <w:spacing w:line="268" w:lineRule="auto" w:before="113"/>
        <w:ind w:left="329" w:right="913"/>
        <w:jc w:val="both"/>
      </w:pPr>
      <w:r>
        <w:rPr>
          <w:color w:val="231F20"/>
        </w:rPr>
        <w:t>Furthermore, the Swing Pricing policy may stip- ulate that Swing Pricing should not be applied to the closing net asset value.</w:t>
      </w:r>
    </w:p>
    <w:p>
      <w:pPr>
        <w:spacing w:after="0" w:line="268" w:lineRule="auto"/>
        <w:jc w:val="both"/>
        <w:sectPr>
          <w:type w:val="continuous"/>
          <w:pgSz w:w="11910" w:h="16840"/>
          <w:pgMar w:top="1580" w:bottom="280" w:left="340" w:right="360"/>
          <w:cols w:num="2" w:equalWidth="0">
            <w:col w:w="5431" w:space="40"/>
            <w:col w:w="5739"/>
          </w:cols>
        </w:sectPr>
      </w:pPr>
    </w:p>
    <w:p>
      <w:pPr>
        <w:pStyle w:val="BodyText"/>
        <w:spacing w:before="77"/>
        <w:ind w:left="113"/>
        <w:rPr>
          <w:rFonts w:ascii="Arial"/>
        </w:rPr>
      </w:pPr>
      <w:r>
        <w:rPr>
          <w:rFonts w:ascii="Arial"/>
          <w:color w:val="FFFFFF"/>
          <w:w w:val="96"/>
          <w:shd w:fill="CB4D2C" w:color="auto" w:val="clear"/>
        </w:rPr>
        <w:t> </w:t>
      </w:r>
      <w:r>
        <w:rPr>
          <w:rFonts w:ascii="Arial"/>
          <w:color w:val="FFFFFF"/>
          <w:shd w:fill="CB4D2C" w:color="auto" w:val="clear"/>
        </w:rPr>
        <w:t> 4 </w:t>
      </w:r>
    </w:p>
    <w:p>
      <w:pPr>
        <w:pStyle w:val="Heading3"/>
        <w:numPr>
          <w:ilvl w:val="2"/>
          <w:numId w:val="4"/>
        </w:numPr>
        <w:tabs>
          <w:tab w:pos="1507" w:val="left" w:leader="none"/>
        </w:tabs>
        <w:spacing w:line="240" w:lineRule="auto" w:before="105" w:after="0"/>
        <w:ind w:left="1506" w:right="0" w:hanging="572"/>
        <w:jc w:val="left"/>
      </w:pPr>
      <w:r>
        <w:rPr/>
        <w:pict>
          <v:shape style="position:absolute;margin-left:24.816307pt;margin-top:6.188776pt;width:9.8pt;height:84.7pt;mso-position-horizontal-relative:page;mso-position-vertical-relative:paragraph;z-index:15754240" type="#_x0000_t202" filled="false" stroked="false">
            <v:textbox inset="0,0,0,0" style="layout-flow:vertical;mso-layout-flow-alt:bottom-to-top">
              <w:txbxContent>
                <w:p>
                  <w:pPr>
                    <w:spacing w:before="13"/>
                    <w:ind w:left="20" w:right="0" w:firstLine="0"/>
                    <w:jc w:val="left"/>
                    <w:rPr>
                      <w:rFonts w:ascii="Arial" w:hAnsi="Arial"/>
                      <w:sz w:val="14"/>
                    </w:rPr>
                  </w:pPr>
                  <w:r>
                    <w:rPr>
                      <w:rFonts w:ascii="Arial" w:hAnsi="Arial"/>
                      <w:color w:val="CB4D2C"/>
                      <w:w w:val="105"/>
                      <w:sz w:val="14"/>
                    </w:rPr>
                    <w:t>AFG – NOVEMBER</w:t>
                  </w:r>
                  <w:r>
                    <w:rPr>
                      <w:rFonts w:ascii="Arial" w:hAnsi="Arial"/>
                      <w:color w:val="CB4D2C"/>
                      <w:spacing w:val="-24"/>
                      <w:w w:val="105"/>
                      <w:sz w:val="14"/>
                    </w:rPr>
                    <w:t> </w:t>
                  </w:r>
                  <w:r>
                    <w:rPr>
                      <w:rFonts w:ascii="Arial" w:hAnsi="Arial"/>
                      <w:color w:val="CB4D2C"/>
                      <w:w w:val="105"/>
                      <w:sz w:val="14"/>
                    </w:rPr>
                    <w:t>2020</w:t>
                  </w:r>
                </w:p>
              </w:txbxContent>
            </v:textbox>
            <w10:wrap type="none"/>
          </v:shape>
        </w:pict>
      </w:r>
      <w:r>
        <w:rPr>
          <w:color w:val="CB4D2C"/>
        </w:rPr>
        <w:t>Cost allocation:</w:t>
      </w:r>
      <w:r>
        <w:rPr>
          <w:color w:val="CB4D2C"/>
          <w:spacing w:val="10"/>
        </w:rPr>
        <w:t> </w:t>
      </w:r>
      <w:r>
        <w:rPr>
          <w:color w:val="CB4D2C"/>
        </w:rPr>
        <w:t>adls</w:t>
      </w:r>
    </w:p>
    <w:p>
      <w:pPr>
        <w:pStyle w:val="BodyText"/>
        <w:spacing w:line="268" w:lineRule="auto" w:before="141"/>
        <w:ind w:left="935" w:right="5"/>
      </w:pPr>
      <w:r>
        <w:rPr>
          <w:color w:val="231F20"/>
        </w:rPr>
        <w:t>In particular, the following two allocation rules are accepted:</w:t>
      </w:r>
    </w:p>
    <w:p>
      <w:pPr>
        <w:pStyle w:val="BodyText"/>
        <w:spacing w:line="268" w:lineRule="auto" w:before="113"/>
        <w:ind w:left="1077" w:hanging="142"/>
      </w:pPr>
      <w:r>
        <w:rPr>
          <w:color w:val="231F20"/>
        </w:rPr>
        <w:t>– Cost fully borne by subscribing or redeeming investors:</w:t>
      </w:r>
    </w:p>
    <w:p>
      <w:pPr>
        <w:spacing w:line="278" w:lineRule="exact" w:before="53"/>
        <w:ind w:left="1257" w:right="0" w:firstLine="0"/>
        <w:jc w:val="left"/>
        <w:rPr>
          <w:i/>
          <w:sz w:val="20"/>
        </w:rPr>
      </w:pPr>
      <w:r>
        <w:rPr/>
        <w:pict>
          <v:rect style="position:absolute;margin-left:72.282997pt;margin-top:7.311423pt;width:3.898pt;height:3.898pt;mso-position-horizontal-relative:page;mso-position-vertical-relative:paragraph;z-index:15751168" filled="true" fillcolor="#cb4d2c" stroked="false">
            <v:fill type="solid"/>
            <w10:wrap type="none"/>
          </v:rect>
        </w:pict>
      </w:r>
      <w:r>
        <w:rPr>
          <w:color w:val="231F20"/>
          <w:position w:val="7"/>
          <w:sz w:val="20"/>
        </w:rPr>
        <w:t>If </w:t>
      </w:r>
      <w:r>
        <w:rPr>
          <w:i/>
          <w:color w:val="CB4D2C"/>
          <w:position w:val="7"/>
          <w:sz w:val="20"/>
        </w:rPr>
        <w:t>S &gt; R, ADL</w:t>
      </w:r>
      <w:r>
        <w:rPr>
          <w:i/>
          <w:color w:val="CB4D2C"/>
          <w:sz w:val="11"/>
        </w:rPr>
        <w:t>subscription </w:t>
      </w:r>
      <w:r>
        <w:rPr>
          <w:i/>
          <w:color w:val="CB4D2C"/>
          <w:position w:val="7"/>
          <w:sz w:val="20"/>
        </w:rPr>
        <w:t>= C/S </w:t>
      </w:r>
      <w:r>
        <w:rPr>
          <w:color w:val="231F20"/>
          <w:position w:val="7"/>
          <w:sz w:val="20"/>
        </w:rPr>
        <w:t>and </w:t>
      </w:r>
      <w:r>
        <w:rPr>
          <w:i/>
          <w:color w:val="CB4D2C"/>
          <w:position w:val="7"/>
          <w:sz w:val="20"/>
        </w:rPr>
        <w:t>ADL</w:t>
      </w:r>
      <w:r>
        <w:rPr>
          <w:i/>
          <w:color w:val="CB4D2C"/>
          <w:sz w:val="11"/>
        </w:rPr>
        <w:t>redemption </w:t>
      </w:r>
      <w:r>
        <w:rPr>
          <w:i/>
          <w:color w:val="CB4D2C"/>
          <w:position w:val="7"/>
          <w:sz w:val="20"/>
        </w:rPr>
        <w:t>= 0</w:t>
      </w:r>
    </w:p>
    <w:p>
      <w:pPr>
        <w:pStyle w:val="BodyText"/>
        <w:spacing w:before="8" w:after="40"/>
        <w:rPr>
          <w:i/>
          <w:sz w:val="24"/>
        </w:rPr>
      </w:pPr>
      <w:r>
        <w:rPr/>
        <w:br w:type="column"/>
      </w:r>
      <w:r>
        <w:rPr>
          <w:i/>
          <w:sz w:val="24"/>
        </w:rPr>
      </w:r>
    </w:p>
    <w:p>
      <w:pPr>
        <w:pStyle w:val="BodyText"/>
        <w:spacing w:line="20" w:lineRule="exact"/>
        <w:ind w:left="110"/>
        <w:rPr>
          <w:sz w:val="2"/>
        </w:rPr>
      </w:pPr>
      <w:r>
        <w:rPr>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sz w:val="2"/>
        </w:rPr>
      </w:r>
    </w:p>
    <w:p>
      <w:pPr>
        <w:pStyle w:val="Heading2"/>
        <w:numPr>
          <w:ilvl w:val="1"/>
          <w:numId w:val="3"/>
        </w:numPr>
        <w:tabs>
          <w:tab w:pos="514" w:val="left" w:leader="none"/>
        </w:tabs>
        <w:spacing w:line="240" w:lineRule="auto" w:before="44" w:after="0"/>
        <w:ind w:left="513" w:right="0" w:hanging="401"/>
        <w:jc w:val="left"/>
        <w:rPr>
          <w:rFonts w:ascii="Arial"/>
        </w:rPr>
      </w:pPr>
      <w:bookmarkStart w:name="_TOC_250004" w:id="5"/>
      <w:bookmarkEnd w:id="5"/>
      <w:r>
        <w:rPr>
          <w:rFonts w:ascii="Arial"/>
          <w:color w:val="CB4D2C"/>
          <w:w w:val="115"/>
        </w:rPr>
        <w:t>Governance</w:t>
      </w:r>
    </w:p>
    <w:p>
      <w:pPr>
        <w:pStyle w:val="BodyText"/>
        <w:spacing w:before="4"/>
        <w:rPr>
          <w:rFonts w:ascii="Arial"/>
          <w:sz w:val="5"/>
        </w:rPr>
      </w:pPr>
    </w:p>
    <w:p>
      <w:pPr>
        <w:pStyle w:val="BodyText"/>
        <w:spacing w:line="20" w:lineRule="exact"/>
        <w:ind w:left="110"/>
        <w:rPr>
          <w:rFonts w:ascii="Arial"/>
          <w:sz w:val="2"/>
        </w:rPr>
      </w:pPr>
      <w:r>
        <w:rPr>
          <w:rFonts w:ascii="Arial"/>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rFonts w:ascii="Arial"/>
          <w:sz w:val="2"/>
        </w:rPr>
      </w:r>
    </w:p>
    <w:p>
      <w:pPr>
        <w:pStyle w:val="BodyText"/>
        <w:spacing w:line="268" w:lineRule="auto" w:before="223"/>
        <w:ind w:left="113" w:right="912"/>
        <w:jc w:val="both"/>
      </w:pPr>
      <w:r>
        <w:rPr>
          <w:color w:val="231F20"/>
        </w:rPr>
        <w:t>The</w:t>
      </w:r>
      <w:r>
        <w:rPr>
          <w:color w:val="231F20"/>
          <w:spacing w:val="-14"/>
        </w:rPr>
        <w:t> </w:t>
      </w:r>
      <w:r>
        <w:rPr>
          <w:color w:val="231F20"/>
        </w:rPr>
        <w:t>management</w:t>
      </w:r>
      <w:r>
        <w:rPr>
          <w:color w:val="231F20"/>
          <w:spacing w:val="-14"/>
        </w:rPr>
        <w:t> </w:t>
      </w:r>
      <w:r>
        <w:rPr>
          <w:color w:val="231F20"/>
        </w:rPr>
        <w:t>company</w:t>
      </w:r>
      <w:r>
        <w:rPr>
          <w:color w:val="231F20"/>
          <w:spacing w:val="-14"/>
        </w:rPr>
        <w:t> </w:t>
      </w:r>
      <w:r>
        <w:rPr>
          <w:color w:val="231F20"/>
        </w:rPr>
        <w:t>should</w:t>
      </w:r>
      <w:r>
        <w:rPr>
          <w:color w:val="231F20"/>
          <w:spacing w:val="-14"/>
        </w:rPr>
        <w:t> </w:t>
      </w:r>
      <w:r>
        <w:rPr>
          <w:color w:val="231F20"/>
        </w:rPr>
        <w:t>define</w:t>
      </w:r>
      <w:r>
        <w:rPr>
          <w:color w:val="231F20"/>
          <w:spacing w:val="-15"/>
        </w:rPr>
        <w:t> </w:t>
      </w:r>
      <w:r>
        <w:rPr>
          <w:color w:val="231F20"/>
        </w:rPr>
        <w:t>its</w:t>
      </w:r>
      <w:r>
        <w:rPr>
          <w:color w:val="231F20"/>
          <w:spacing w:val="-14"/>
        </w:rPr>
        <w:t> </w:t>
      </w:r>
      <w:r>
        <w:rPr>
          <w:color w:val="231F20"/>
        </w:rPr>
        <w:t>policy on</w:t>
      </w:r>
      <w:r>
        <w:rPr>
          <w:color w:val="231F20"/>
          <w:spacing w:val="-13"/>
        </w:rPr>
        <w:t> </w:t>
      </w:r>
      <w:r>
        <w:rPr>
          <w:color w:val="231F20"/>
        </w:rPr>
        <w:t>Swing</w:t>
      </w:r>
      <w:r>
        <w:rPr>
          <w:color w:val="231F20"/>
          <w:spacing w:val="-13"/>
        </w:rPr>
        <w:t> </w:t>
      </w:r>
      <w:r>
        <w:rPr>
          <w:color w:val="231F20"/>
        </w:rPr>
        <w:t>Pricing</w:t>
      </w:r>
      <w:r>
        <w:rPr>
          <w:color w:val="231F20"/>
          <w:spacing w:val="-13"/>
        </w:rPr>
        <w:t> </w:t>
      </w:r>
      <w:r>
        <w:rPr>
          <w:color w:val="231F20"/>
        </w:rPr>
        <w:t>and</w:t>
      </w:r>
      <w:r>
        <w:rPr>
          <w:color w:val="231F20"/>
          <w:spacing w:val="-24"/>
        </w:rPr>
        <w:t> </w:t>
      </w:r>
      <w:r>
        <w:rPr>
          <w:color w:val="231F20"/>
        </w:rPr>
        <w:t>ADLs.</w:t>
      </w:r>
      <w:r>
        <w:rPr>
          <w:color w:val="231F20"/>
          <w:spacing w:val="-12"/>
        </w:rPr>
        <w:t> </w:t>
      </w:r>
      <w:r>
        <w:rPr>
          <w:color w:val="231F20"/>
        </w:rPr>
        <w:t>In</w:t>
      </w:r>
      <w:r>
        <w:rPr>
          <w:color w:val="231F20"/>
          <w:spacing w:val="-13"/>
        </w:rPr>
        <w:t> </w:t>
      </w:r>
      <w:r>
        <w:rPr>
          <w:color w:val="231F20"/>
          <w:spacing w:val="-4"/>
        </w:rPr>
        <w:t>particular,</w:t>
      </w:r>
      <w:r>
        <w:rPr>
          <w:color w:val="231F20"/>
          <w:spacing w:val="-13"/>
        </w:rPr>
        <w:t> </w:t>
      </w:r>
      <w:r>
        <w:rPr>
          <w:color w:val="231F20"/>
        </w:rPr>
        <w:t>this</w:t>
      </w:r>
      <w:r>
        <w:rPr>
          <w:color w:val="231F20"/>
          <w:spacing w:val="-13"/>
        </w:rPr>
        <w:t> </w:t>
      </w:r>
      <w:r>
        <w:rPr>
          <w:color w:val="231F20"/>
        </w:rPr>
        <w:t>policy should specify the nature of the costs taken into account, the methodology used to estimate such costs</w:t>
      </w:r>
      <w:r>
        <w:rPr>
          <w:color w:val="231F20"/>
          <w:spacing w:val="43"/>
        </w:rPr>
        <w:t> </w:t>
      </w:r>
      <w:r>
        <w:rPr>
          <w:color w:val="231F20"/>
        </w:rPr>
        <w:t>and</w:t>
      </w:r>
      <w:r>
        <w:rPr>
          <w:color w:val="231F20"/>
          <w:spacing w:val="43"/>
        </w:rPr>
        <w:t> </w:t>
      </w:r>
      <w:r>
        <w:rPr>
          <w:color w:val="231F20"/>
        </w:rPr>
        <w:t>rules</w:t>
      </w:r>
      <w:r>
        <w:rPr>
          <w:color w:val="231F20"/>
          <w:spacing w:val="43"/>
        </w:rPr>
        <w:t> </w:t>
      </w:r>
      <w:r>
        <w:rPr>
          <w:color w:val="231F20"/>
        </w:rPr>
        <w:t>on</w:t>
      </w:r>
      <w:r>
        <w:rPr>
          <w:color w:val="231F20"/>
          <w:spacing w:val="43"/>
        </w:rPr>
        <w:t> </w:t>
      </w:r>
      <w:r>
        <w:rPr>
          <w:color w:val="231F20"/>
        </w:rPr>
        <w:t>allocating</w:t>
      </w:r>
      <w:r>
        <w:rPr>
          <w:color w:val="231F20"/>
          <w:spacing w:val="43"/>
        </w:rPr>
        <w:t> </w:t>
      </w:r>
      <w:r>
        <w:rPr>
          <w:color w:val="231F20"/>
        </w:rPr>
        <w:t>such</w:t>
      </w:r>
      <w:r>
        <w:rPr>
          <w:color w:val="231F20"/>
          <w:spacing w:val="43"/>
        </w:rPr>
        <w:t> </w:t>
      </w:r>
      <w:r>
        <w:rPr>
          <w:color w:val="231F20"/>
        </w:rPr>
        <w:t>costs</w:t>
      </w:r>
      <w:r>
        <w:rPr>
          <w:color w:val="231F20"/>
          <w:spacing w:val="43"/>
        </w:rPr>
        <w:t> </w:t>
      </w:r>
      <w:r>
        <w:rPr>
          <w:color w:val="231F20"/>
        </w:rPr>
        <w:t>among</w:t>
      </w:r>
    </w:p>
    <w:p>
      <w:pPr>
        <w:spacing w:after="0" w:line="268" w:lineRule="auto"/>
        <w:jc w:val="both"/>
        <w:sectPr>
          <w:pgSz w:w="11910" w:h="16840"/>
          <w:pgMar w:top="380" w:bottom="280" w:left="340" w:right="360"/>
          <w:cols w:num="2" w:equalWidth="0">
            <w:col w:w="5472" w:space="214"/>
            <w:col w:w="5524"/>
          </w:cols>
        </w:sectPr>
      </w:pPr>
    </w:p>
    <w:p>
      <w:pPr>
        <w:spacing w:before="41"/>
        <w:ind w:left="1257" w:right="0" w:firstLine="0"/>
        <w:jc w:val="left"/>
        <w:rPr>
          <w:i/>
          <w:sz w:val="20"/>
        </w:rPr>
      </w:pPr>
      <w:r>
        <w:rPr/>
        <w:pict>
          <v:rect style="position:absolute;margin-left:72.282997pt;margin-top:6.541845pt;width:3.898pt;height:3.898pt;mso-position-horizontal-relative:page;mso-position-vertical-relative:paragraph;z-index:15751680" filled="true" fillcolor="#cb4d2c" stroked="false">
            <v:fill type="solid"/>
            <w10:wrap type="none"/>
          </v:rect>
        </w:pict>
      </w:r>
      <w:r>
        <w:rPr>
          <w:color w:val="231F20"/>
          <w:sz w:val="20"/>
        </w:rPr>
        <w:t>If </w:t>
      </w:r>
      <w:r>
        <w:rPr>
          <w:i/>
          <w:color w:val="CB4D2C"/>
          <w:sz w:val="20"/>
        </w:rPr>
        <w:t>S &lt; R, ADL</w:t>
      </w:r>
    </w:p>
    <w:p>
      <w:pPr>
        <w:pStyle w:val="BodyText"/>
        <w:spacing w:before="6"/>
        <w:rPr>
          <w:i/>
          <w:sz w:val="16"/>
        </w:rPr>
      </w:pPr>
      <w:r>
        <w:rPr/>
        <w:br w:type="column"/>
      </w:r>
      <w:r>
        <w:rPr>
          <w:i/>
          <w:sz w:val="16"/>
        </w:rPr>
      </w:r>
    </w:p>
    <w:p>
      <w:pPr>
        <w:spacing w:before="0"/>
        <w:ind w:left="-40" w:right="0" w:firstLine="0"/>
        <w:jc w:val="left"/>
        <w:rPr>
          <w:i/>
          <w:sz w:val="11"/>
        </w:rPr>
      </w:pPr>
      <w:r>
        <w:rPr>
          <w:i/>
          <w:color w:val="CB4D2C"/>
          <w:w w:val="105"/>
          <w:sz w:val="11"/>
        </w:rPr>
        <w:t>subscription</w:t>
      </w:r>
    </w:p>
    <w:p>
      <w:pPr>
        <w:spacing w:before="41"/>
        <w:ind w:left="21" w:right="0" w:firstLine="0"/>
        <w:jc w:val="left"/>
        <w:rPr>
          <w:i/>
          <w:sz w:val="20"/>
        </w:rPr>
      </w:pPr>
      <w:r>
        <w:rPr/>
        <w:br w:type="column"/>
      </w:r>
      <w:r>
        <w:rPr>
          <w:i/>
          <w:color w:val="CB4D2C"/>
          <w:sz w:val="20"/>
        </w:rPr>
        <w:t>= 0 </w:t>
      </w:r>
      <w:r>
        <w:rPr>
          <w:color w:val="231F20"/>
          <w:sz w:val="20"/>
        </w:rPr>
        <w:t>and </w:t>
      </w:r>
      <w:r>
        <w:rPr>
          <w:i/>
          <w:color w:val="CB4D2C"/>
          <w:sz w:val="20"/>
        </w:rPr>
        <w:t>ADL</w:t>
      </w:r>
    </w:p>
    <w:p>
      <w:pPr>
        <w:pStyle w:val="BodyText"/>
        <w:spacing w:before="6"/>
        <w:rPr>
          <w:i/>
          <w:sz w:val="16"/>
        </w:rPr>
      </w:pPr>
      <w:r>
        <w:rPr/>
        <w:br w:type="column"/>
      </w:r>
      <w:r>
        <w:rPr>
          <w:i/>
          <w:sz w:val="16"/>
        </w:rPr>
      </w:r>
    </w:p>
    <w:p>
      <w:pPr>
        <w:spacing w:before="0"/>
        <w:ind w:left="-40" w:right="0" w:firstLine="0"/>
        <w:jc w:val="left"/>
        <w:rPr>
          <w:i/>
          <w:sz w:val="11"/>
        </w:rPr>
      </w:pPr>
      <w:r>
        <w:rPr>
          <w:i/>
          <w:color w:val="CB4D2C"/>
          <w:w w:val="105"/>
          <w:sz w:val="11"/>
        </w:rPr>
        <w:t>redemption</w:t>
      </w:r>
    </w:p>
    <w:p>
      <w:pPr>
        <w:spacing w:before="41"/>
        <w:ind w:left="22" w:right="0" w:firstLine="0"/>
        <w:jc w:val="left"/>
        <w:rPr>
          <w:i/>
          <w:sz w:val="20"/>
        </w:rPr>
      </w:pPr>
      <w:r>
        <w:rPr/>
        <w:br w:type="column"/>
      </w:r>
      <w:r>
        <w:rPr>
          <w:i/>
          <w:color w:val="CB4D2C"/>
          <w:sz w:val="20"/>
        </w:rPr>
        <w:t>= C/R</w:t>
      </w:r>
    </w:p>
    <w:p>
      <w:pPr>
        <w:pStyle w:val="BodyText"/>
        <w:spacing w:line="232" w:lineRule="exact"/>
        <w:ind w:left="376"/>
      </w:pPr>
      <w:r>
        <w:rPr/>
        <w:br w:type="column"/>
      </w:r>
      <w:r>
        <w:rPr>
          <w:color w:val="231F20"/>
        </w:rPr>
        <w:t>subscribing,</w:t>
      </w:r>
      <w:r>
        <w:rPr>
          <w:color w:val="231F20"/>
          <w:spacing w:val="32"/>
        </w:rPr>
        <w:t> </w:t>
      </w:r>
      <w:r>
        <w:rPr>
          <w:color w:val="231F20"/>
        </w:rPr>
        <w:t>redeeming</w:t>
      </w:r>
      <w:r>
        <w:rPr>
          <w:color w:val="231F20"/>
          <w:spacing w:val="32"/>
        </w:rPr>
        <w:t> </w:t>
      </w:r>
      <w:r>
        <w:rPr>
          <w:color w:val="231F20"/>
        </w:rPr>
        <w:t>and</w:t>
      </w:r>
      <w:r>
        <w:rPr>
          <w:color w:val="231F20"/>
          <w:spacing w:val="32"/>
        </w:rPr>
        <w:t> </w:t>
      </w:r>
      <w:r>
        <w:rPr>
          <w:color w:val="231F20"/>
        </w:rPr>
        <w:t>remaining</w:t>
      </w:r>
      <w:r>
        <w:rPr>
          <w:color w:val="231F20"/>
          <w:spacing w:val="33"/>
        </w:rPr>
        <w:t> </w:t>
      </w:r>
      <w:r>
        <w:rPr>
          <w:color w:val="231F20"/>
        </w:rPr>
        <w:t>investors.</w:t>
      </w:r>
    </w:p>
    <w:p>
      <w:pPr>
        <w:pStyle w:val="BodyText"/>
        <w:spacing w:line="155" w:lineRule="exact" w:before="27"/>
        <w:ind w:left="376"/>
      </w:pPr>
      <w:r>
        <w:rPr>
          <w:color w:val="231F20"/>
        </w:rPr>
        <w:t>It</w:t>
      </w:r>
      <w:r>
        <w:rPr>
          <w:color w:val="231F20"/>
          <w:spacing w:val="39"/>
        </w:rPr>
        <w:t> </w:t>
      </w:r>
      <w:r>
        <w:rPr>
          <w:color w:val="231F20"/>
        </w:rPr>
        <w:t>should</w:t>
      </w:r>
      <w:r>
        <w:rPr>
          <w:color w:val="231F20"/>
          <w:spacing w:val="40"/>
        </w:rPr>
        <w:t> </w:t>
      </w:r>
      <w:r>
        <w:rPr>
          <w:color w:val="231F20"/>
        </w:rPr>
        <w:t>sets</w:t>
      </w:r>
      <w:r>
        <w:rPr>
          <w:color w:val="231F20"/>
          <w:spacing w:val="40"/>
        </w:rPr>
        <w:t> </w:t>
      </w:r>
      <w:r>
        <w:rPr>
          <w:color w:val="231F20"/>
        </w:rPr>
        <w:t>the</w:t>
      </w:r>
      <w:r>
        <w:rPr>
          <w:color w:val="231F20"/>
          <w:spacing w:val="40"/>
        </w:rPr>
        <w:t> </w:t>
      </w:r>
      <w:r>
        <w:rPr>
          <w:color w:val="231F20"/>
        </w:rPr>
        <w:t>parameters</w:t>
      </w:r>
      <w:r>
        <w:rPr>
          <w:color w:val="231F20"/>
          <w:spacing w:val="40"/>
        </w:rPr>
        <w:t> </w:t>
      </w:r>
      <w:r>
        <w:rPr>
          <w:color w:val="231F20"/>
        </w:rPr>
        <w:t>necessary</w:t>
      </w:r>
      <w:r>
        <w:rPr>
          <w:color w:val="231F20"/>
          <w:spacing w:val="40"/>
        </w:rPr>
        <w:t> </w:t>
      </w:r>
      <w:r>
        <w:rPr>
          <w:color w:val="231F20"/>
        </w:rPr>
        <w:t>to</w:t>
      </w:r>
      <w:r>
        <w:rPr>
          <w:color w:val="231F20"/>
          <w:spacing w:val="39"/>
        </w:rPr>
        <w:t> </w:t>
      </w:r>
      <w:r>
        <w:rPr>
          <w:color w:val="231F20"/>
        </w:rPr>
        <w:t>this</w:t>
      </w:r>
    </w:p>
    <w:p>
      <w:pPr>
        <w:spacing w:after="0" w:line="155" w:lineRule="exact"/>
        <w:sectPr>
          <w:type w:val="continuous"/>
          <w:pgSz w:w="11910" w:h="16840"/>
          <w:pgMar w:top="1580" w:bottom="280" w:left="340" w:right="360"/>
          <w:cols w:num="6" w:equalWidth="0">
            <w:col w:w="2383" w:space="40"/>
            <w:col w:w="613" w:space="39"/>
            <w:col w:w="1106" w:space="40"/>
            <w:col w:w="584" w:space="40"/>
            <w:col w:w="539" w:space="40"/>
            <w:col w:w="5786"/>
          </w:cols>
        </w:sectPr>
      </w:pPr>
    </w:p>
    <w:p>
      <w:pPr>
        <w:pStyle w:val="BodyText"/>
        <w:spacing w:line="268" w:lineRule="auto"/>
        <w:ind w:left="1073" w:right="24" w:hanging="138"/>
      </w:pPr>
      <w:r>
        <w:rPr>
          <w:color w:val="231F20"/>
        </w:rPr>
        <w:t>– Cost borne on a pro rata basis by subscribing and redeeming</w:t>
      </w:r>
      <w:r>
        <w:rPr>
          <w:color w:val="231F20"/>
          <w:spacing w:val="8"/>
        </w:rPr>
        <w:t> </w:t>
      </w:r>
      <w:r>
        <w:rPr>
          <w:color w:val="231F20"/>
        </w:rPr>
        <w:t>investors:</w:t>
      </w:r>
    </w:p>
    <w:p>
      <w:pPr>
        <w:spacing w:line="271" w:lineRule="exact" w:before="57"/>
        <w:ind w:left="1313" w:right="0" w:firstLine="0"/>
        <w:jc w:val="left"/>
        <w:rPr>
          <w:sz w:val="20"/>
        </w:rPr>
      </w:pPr>
      <w:r>
        <w:rPr/>
        <w:pict>
          <v:rect style="position:absolute;margin-left:75.117996pt;margin-top:7.341878pt;width:3.898pt;height:3.898pt;mso-position-horizontal-relative:page;mso-position-vertical-relative:paragraph;z-index:15752192" filled="true" fillcolor="#cb4d2c" stroked="false">
            <v:fill type="solid"/>
            <w10:wrap type="none"/>
          </v:rect>
        </w:pict>
      </w:r>
      <w:r>
        <w:rPr>
          <w:i/>
          <w:color w:val="CB4D2C"/>
          <w:sz w:val="20"/>
        </w:rPr>
        <w:t>ADL</w:t>
      </w:r>
      <w:r>
        <w:rPr>
          <w:i/>
          <w:color w:val="CB4D2C"/>
          <w:position w:val="-6"/>
          <w:sz w:val="11"/>
        </w:rPr>
        <w:t>subscription </w:t>
      </w:r>
      <w:r>
        <w:rPr>
          <w:i/>
          <w:color w:val="CB4D2C"/>
          <w:sz w:val="20"/>
        </w:rPr>
        <w:t>= C / (R + S) </w:t>
      </w:r>
      <w:r>
        <w:rPr>
          <w:color w:val="231F20"/>
          <w:sz w:val="20"/>
        </w:rPr>
        <w:t>and</w:t>
      </w:r>
    </w:p>
    <w:p>
      <w:pPr>
        <w:spacing w:line="225" w:lineRule="auto" w:before="0"/>
        <w:ind w:left="1313" w:right="0" w:firstLine="0"/>
        <w:jc w:val="left"/>
        <w:rPr>
          <w:i/>
          <w:sz w:val="20"/>
        </w:rPr>
      </w:pPr>
      <w:r>
        <w:rPr>
          <w:i/>
          <w:color w:val="CB4D2C"/>
          <w:sz w:val="20"/>
        </w:rPr>
        <w:t>ADL</w:t>
      </w:r>
      <w:r>
        <w:rPr>
          <w:i/>
          <w:color w:val="CB4D2C"/>
          <w:position w:val="-6"/>
          <w:sz w:val="11"/>
        </w:rPr>
        <w:t>redemption </w:t>
      </w:r>
      <w:r>
        <w:rPr>
          <w:i/>
          <w:color w:val="CB4D2C"/>
          <w:sz w:val="20"/>
        </w:rPr>
        <w:t>= C/ (R + S)</w:t>
      </w:r>
    </w:p>
    <w:p>
      <w:pPr>
        <w:pStyle w:val="BodyText"/>
        <w:spacing w:line="268" w:lineRule="auto" w:before="94"/>
        <w:ind w:left="935"/>
        <w:jc w:val="both"/>
      </w:pPr>
      <w:r>
        <w:rPr>
          <w:color w:val="231F20"/>
        </w:rPr>
        <w:t>As for the Swing Pricing with a swing threshold, the management company may stipulate thresh- olds, laid down in the ADLs policy, below which the fund will not collect any ADLs.</w:t>
      </w:r>
    </w:p>
    <w:p>
      <w:pPr>
        <w:pStyle w:val="BodyText"/>
        <w:spacing w:before="113"/>
        <w:ind w:left="935"/>
        <w:jc w:val="both"/>
      </w:pPr>
      <w:r>
        <w:rPr>
          <w:color w:val="231F20"/>
        </w:rPr>
        <w:t>The methodology may be adapted to distinguish</w:t>
      </w:r>
    </w:p>
    <w:p>
      <w:pPr>
        <w:pStyle w:val="BodyText"/>
        <w:spacing w:line="268" w:lineRule="auto" w:before="105"/>
        <w:ind w:left="332" w:right="913"/>
        <w:jc w:val="both"/>
      </w:pPr>
      <w:r>
        <w:rPr/>
        <w:br w:type="column"/>
      </w:r>
      <w:r>
        <w:rPr>
          <w:color w:val="231F20"/>
        </w:rPr>
        <w:t>methodology on the basis of documented and justifiable criteria and revise them at least twice a </w:t>
      </w:r>
      <w:r>
        <w:rPr>
          <w:color w:val="231F20"/>
          <w:spacing w:val="-6"/>
        </w:rPr>
        <w:t>year. </w:t>
      </w:r>
      <w:r>
        <w:rPr>
          <w:color w:val="231F20"/>
        </w:rPr>
        <w:t>It should document the whole set of methodologies</w:t>
      </w:r>
      <w:r>
        <w:rPr>
          <w:color w:val="231F20"/>
          <w:spacing w:val="-11"/>
        </w:rPr>
        <w:t> </w:t>
      </w:r>
      <w:r>
        <w:rPr>
          <w:color w:val="231F20"/>
        </w:rPr>
        <w:t>and</w:t>
      </w:r>
      <w:r>
        <w:rPr>
          <w:color w:val="231F20"/>
          <w:spacing w:val="-10"/>
        </w:rPr>
        <w:t> </w:t>
      </w:r>
      <w:r>
        <w:rPr>
          <w:color w:val="231F20"/>
        </w:rPr>
        <w:t>calculations</w:t>
      </w:r>
      <w:r>
        <w:rPr>
          <w:color w:val="231F20"/>
          <w:spacing w:val="-10"/>
        </w:rPr>
        <w:t> </w:t>
      </w:r>
      <w:r>
        <w:rPr>
          <w:color w:val="231F20"/>
        </w:rPr>
        <w:t>such</w:t>
      </w:r>
      <w:r>
        <w:rPr>
          <w:color w:val="231F20"/>
          <w:spacing w:val="-10"/>
        </w:rPr>
        <w:t> </w:t>
      </w:r>
      <w:r>
        <w:rPr>
          <w:color w:val="231F20"/>
        </w:rPr>
        <w:t>that</w:t>
      </w:r>
      <w:r>
        <w:rPr>
          <w:color w:val="231F20"/>
          <w:spacing w:val="-10"/>
        </w:rPr>
        <w:t> </w:t>
      </w:r>
      <w:r>
        <w:rPr>
          <w:color w:val="231F20"/>
        </w:rPr>
        <w:t>they</w:t>
      </w:r>
      <w:r>
        <w:rPr>
          <w:color w:val="231F20"/>
          <w:spacing w:val="-10"/>
        </w:rPr>
        <w:t> </w:t>
      </w:r>
      <w:r>
        <w:rPr>
          <w:color w:val="231F20"/>
        </w:rPr>
        <w:t>are traceable and ensure that records are</w:t>
      </w:r>
      <w:r>
        <w:rPr>
          <w:color w:val="231F20"/>
          <w:spacing w:val="-15"/>
        </w:rPr>
        <w:t> </w:t>
      </w:r>
      <w:r>
        <w:rPr>
          <w:color w:val="231F20"/>
        </w:rPr>
        <w:t>kept.</w:t>
      </w:r>
    </w:p>
    <w:p>
      <w:pPr>
        <w:pStyle w:val="BodyText"/>
        <w:spacing w:line="268" w:lineRule="auto" w:before="113"/>
        <w:ind w:left="332" w:right="911"/>
        <w:jc w:val="both"/>
      </w:pPr>
      <w:r>
        <w:rPr>
          <w:color w:val="231F20"/>
        </w:rPr>
        <w:t>It should identify risks specific to Swing Pricing and ADLs and implement a suitable monitoring mechanism.</w:t>
      </w:r>
    </w:p>
    <w:p>
      <w:pPr>
        <w:spacing w:after="0" w:line="268" w:lineRule="auto"/>
        <w:jc w:val="both"/>
        <w:sectPr>
          <w:type w:val="continuous"/>
          <w:pgSz w:w="11910" w:h="16840"/>
          <w:pgMar w:top="1580" w:bottom="280" w:left="340" w:right="360"/>
          <w:cols w:num="2" w:equalWidth="0">
            <w:col w:w="5428" w:space="40"/>
            <w:col w:w="5742"/>
          </w:cols>
        </w:sectPr>
      </w:pPr>
    </w:p>
    <w:p>
      <w:pPr>
        <w:pStyle w:val="BodyText"/>
        <w:tabs>
          <w:tab w:pos="5799" w:val="left" w:leader="none"/>
          <w:tab w:pos="10289" w:val="left" w:leader="none"/>
        </w:tabs>
        <w:spacing w:before="28"/>
        <w:ind w:left="935"/>
        <w:rPr>
          <w:rFonts w:ascii="Times New Roman"/>
        </w:rPr>
      </w:pPr>
      <w:r>
        <w:rPr>
          <w:color w:val="231F20"/>
        </w:rPr>
        <w:t>the readjustment cost depending on </w:t>
      </w:r>
      <w:r>
        <w:rPr>
          <w:color w:val="231F20"/>
          <w:spacing w:val="13"/>
        </w:rPr>
        <w:t> </w:t>
      </w:r>
      <w:r>
        <w:rPr>
          <w:color w:val="231F20"/>
        </w:rPr>
        <w:t>subscription</w:t>
        <w:tab/>
      </w:r>
      <w:r>
        <w:rPr>
          <w:rFonts w:ascii="Times New Roman"/>
          <w:color w:val="231F20"/>
          <w:u w:val="single" w:color="CB4D2C"/>
        </w:rPr>
        <w:t> </w:t>
        <w:tab/>
      </w:r>
    </w:p>
    <w:p>
      <w:pPr>
        <w:spacing w:after="0"/>
        <w:rPr>
          <w:rFonts w:ascii="Times New Roman"/>
        </w:rPr>
        <w:sectPr>
          <w:type w:val="continuous"/>
          <w:pgSz w:w="11910" w:h="16840"/>
          <w:pgMar w:top="1580" w:bottom="280" w:left="340" w:right="360"/>
        </w:sectPr>
      </w:pPr>
    </w:p>
    <w:p>
      <w:pPr>
        <w:pStyle w:val="BodyText"/>
        <w:spacing w:line="268" w:lineRule="auto" w:before="28"/>
        <w:ind w:left="935"/>
        <w:jc w:val="both"/>
      </w:pPr>
      <w:r>
        <w:rPr>
          <w:color w:val="231F20"/>
        </w:rPr>
        <w:t>and redemption methods; for example, it could distinguish the cost of subscriptions made by con- tribution in kind from the cost of cash subscrip- tions so that costs are allocated appropriately   to the relevant investors. The ADLs policy may also provide for the recognition of a net balance of subscriptions and redemptions for investors undertaking opposite transactions based on the same net asset</w:t>
      </w:r>
      <w:r>
        <w:rPr>
          <w:color w:val="231F20"/>
          <w:spacing w:val="10"/>
        </w:rPr>
        <w:t> </w:t>
      </w:r>
      <w:r>
        <w:rPr>
          <w:color w:val="231F20"/>
          <w:spacing w:val="2"/>
        </w:rPr>
        <w:t>value.</w:t>
      </w:r>
    </w:p>
    <w:p>
      <w:pPr>
        <w:pStyle w:val="BodyText"/>
      </w:pPr>
    </w:p>
    <w:p>
      <w:pPr>
        <w:pStyle w:val="BodyText"/>
        <w:spacing w:before="5"/>
        <w:rPr>
          <w:sz w:val="24"/>
        </w:rPr>
      </w:pPr>
    </w:p>
    <w:p>
      <w:pPr>
        <w:pStyle w:val="BodyText"/>
        <w:ind w:left="935" w:right="-87"/>
      </w:pPr>
      <w:r>
        <w:rPr/>
        <w:pict>
          <v:shape style="width:224.55pt;height:307.1pt;mso-position-horizontal-relative:char;mso-position-vertical-relative:line" type="#_x0000_t202" filled="false" stroked="true" strokeweight=".25pt" strokecolor="#cb4d2c">
            <w10:anchorlock/>
            <v:textbox inset="0,0,0,0">
              <w:txbxContent>
                <w:p>
                  <w:pPr>
                    <w:spacing w:line="268" w:lineRule="auto" w:before="184"/>
                    <w:ind w:left="224" w:right="130" w:firstLine="0"/>
                    <w:jc w:val="left"/>
                    <w:rPr>
                      <w:b/>
                      <w:sz w:val="20"/>
                    </w:rPr>
                  </w:pPr>
                  <w:r>
                    <w:rPr>
                      <w:b/>
                      <w:color w:val="CB4D2C"/>
                      <w:sz w:val="20"/>
                    </w:rPr>
                    <w:t>Clarification for exchange-traded funds (ETFs)</w:t>
                  </w:r>
                </w:p>
                <w:p>
                  <w:pPr>
                    <w:pStyle w:val="BodyText"/>
                    <w:spacing w:line="268" w:lineRule="auto" w:before="113"/>
                    <w:ind w:left="224" w:right="220"/>
                    <w:jc w:val="both"/>
                  </w:pPr>
                  <w:r>
                    <w:rPr>
                      <w:color w:val="231F20"/>
                    </w:rPr>
                    <w:t>Notwithstanding the above, costs for ETFs dealing</w:t>
                  </w:r>
                  <w:r>
                    <w:rPr>
                      <w:color w:val="231F20"/>
                      <w:spacing w:val="-17"/>
                    </w:rPr>
                    <w:t> </w:t>
                  </w:r>
                  <w:r>
                    <w:rPr>
                      <w:color w:val="231F20"/>
                    </w:rPr>
                    <w:t>directly</w:t>
                  </w:r>
                  <w:r>
                    <w:rPr>
                      <w:color w:val="231F20"/>
                      <w:spacing w:val="-17"/>
                    </w:rPr>
                    <w:t> </w:t>
                  </w:r>
                  <w:r>
                    <w:rPr>
                      <w:color w:val="231F20"/>
                    </w:rPr>
                    <w:t>with</w:t>
                  </w:r>
                  <w:r>
                    <w:rPr>
                      <w:color w:val="231F20"/>
                      <w:spacing w:val="-16"/>
                    </w:rPr>
                    <w:t> </w:t>
                  </w:r>
                  <w:r>
                    <w:rPr>
                      <w:color w:val="231F20"/>
                    </w:rPr>
                    <w:t>authorised</w:t>
                  </w:r>
                  <w:r>
                    <w:rPr>
                      <w:color w:val="231F20"/>
                      <w:spacing w:val="-17"/>
                    </w:rPr>
                    <w:t> </w:t>
                  </w:r>
                  <w:r>
                    <w:rPr>
                      <w:color w:val="231F20"/>
                    </w:rPr>
                    <w:t>participants, and where the costs are confirmed while the orders are still revocable, are determined by considering each order </w:t>
                  </w:r>
                  <w:r>
                    <w:rPr>
                      <w:color w:val="231F20"/>
                      <w:spacing w:val="-3"/>
                    </w:rPr>
                    <w:t>individually. </w:t>
                  </w:r>
                  <w:r>
                    <w:rPr>
                      <w:color w:val="231F20"/>
                    </w:rPr>
                    <w:t>In this context, the management company may base its calculation of the portfolio</w:t>
                  </w:r>
                  <w:r>
                    <w:rPr>
                      <w:color w:val="231F20"/>
                      <w:spacing w:val="-40"/>
                    </w:rPr>
                    <w:t> </w:t>
                  </w:r>
                  <w:r>
                    <w:rPr>
                      <w:color w:val="231F20"/>
                    </w:rPr>
                    <w:t>readjust- ment cost on costs (transaction fees, bid-ask spreads, taxes, settlement charges) by as- set class, market segment </w:t>
                  </w:r>
                  <w:r>
                    <w:rPr>
                      <w:color w:val="231F20"/>
                      <w:spacing w:val="-4"/>
                    </w:rPr>
                    <w:t>(country, </w:t>
                  </w:r>
                  <w:r>
                    <w:rPr>
                      <w:color w:val="231F20"/>
                      <w:spacing w:val="-5"/>
                    </w:rPr>
                    <w:t>sector, </w:t>
                  </w:r>
                  <w:r>
                    <w:rPr>
                      <w:color w:val="231F20"/>
                    </w:rPr>
                    <w:t>maturity), type of instrument or </w:t>
                  </w:r>
                  <w:r>
                    <w:rPr>
                      <w:color w:val="231F20"/>
                      <w:spacing w:val="-3"/>
                    </w:rPr>
                    <w:t>security. </w:t>
                  </w:r>
                  <w:r>
                    <w:rPr>
                      <w:color w:val="231F20"/>
                    </w:rPr>
                    <w:t>It should</w:t>
                  </w:r>
                  <w:r>
                    <w:rPr>
                      <w:color w:val="231F20"/>
                      <w:spacing w:val="-12"/>
                    </w:rPr>
                    <w:t> </w:t>
                  </w:r>
                  <w:r>
                    <w:rPr>
                      <w:color w:val="231F20"/>
                    </w:rPr>
                    <w:t>establish</w:t>
                  </w:r>
                  <w:r>
                    <w:rPr>
                      <w:color w:val="231F20"/>
                      <w:spacing w:val="-12"/>
                    </w:rPr>
                    <w:t> </w:t>
                  </w:r>
                  <w:r>
                    <w:rPr>
                      <w:color w:val="231F20"/>
                    </w:rPr>
                    <w:t>these</w:t>
                  </w:r>
                  <w:r>
                    <w:rPr>
                      <w:color w:val="231F20"/>
                      <w:spacing w:val="-11"/>
                    </w:rPr>
                    <w:t> </w:t>
                  </w:r>
                  <w:r>
                    <w:rPr>
                      <w:color w:val="231F20"/>
                    </w:rPr>
                    <w:t>parameters</w:t>
                  </w:r>
                  <w:r>
                    <w:rPr>
                      <w:color w:val="231F20"/>
                      <w:spacing w:val="-12"/>
                    </w:rPr>
                    <w:t> </w:t>
                  </w:r>
                  <w:r>
                    <w:rPr>
                      <w:color w:val="231F20"/>
                    </w:rPr>
                    <w:t>either</w:t>
                  </w:r>
                  <w:r>
                    <w:rPr>
                      <w:color w:val="231F20"/>
                      <w:spacing w:val="-11"/>
                    </w:rPr>
                    <w:t> </w:t>
                  </w:r>
                  <w:r>
                    <w:rPr>
                      <w:color w:val="231F20"/>
                    </w:rPr>
                    <w:t>dai- ly or </w:t>
                  </w:r>
                  <w:r>
                    <w:rPr>
                      <w:color w:val="231F20"/>
                      <w:spacing w:val="-3"/>
                    </w:rPr>
                    <w:t>periodically, </w:t>
                  </w:r>
                  <w:r>
                    <w:rPr>
                      <w:color w:val="231F20"/>
                    </w:rPr>
                    <w:t>such calculation period</w:t>
                  </w:r>
                  <w:r>
                    <w:rPr>
                      <w:color w:val="231F20"/>
                      <w:spacing w:val="-39"/>
                    </w:rPr>
                    <w:t> </w:t>
                  </w:r>
                  <w:r>
                    <w:rPr>
                      <w:color w:val="231F20"/>
                    </w:rPr>
                    <w:t>not exceeding six</w:t>
                  </w:r>
                  <w:r>
                    <w:rPr>
                      <w:color w:val="231F20"/>
                      <w:spacing w:val="-2"/>
                    </w:rPr>
                    <w:t> </w:t>
                  </w:r>
                  <w:r>
                    <w:rPr>
                      <w:color w:val="231F20"/>
                    </w:rPr>
                    <w:t>months.</w:t>
                  </w:r>
                </w:p>
                <w:p>
                  <w:pPr>
                    <w:pStyle w:val="BodyText"/>
                    <w:spacing w:line="268" w:lineRule="auto" w:before="112"/>
                    <w:ind w:left="224" w:right="223"/>
                    <w:jc w:val="both"/>
                  </w:pPr>
                  <w:r>
                    <w:rPr>
                      <w:color w:val="231F20"/>
                    </w:rPr>
                    <w:t>Cost estimates must be documented and based on justifiable data.</w:t>
                  </w:r>
                </w:p>
                <w:p>
                  <w:pPr>
                    <w:pStyle w:val="BodyText"/>
                    <w:spacing w:line="268" w:lineRule="auto" w:before="113"/>
                    <w:ind w:left="224" w:right="222"/>
                    <w:jc w:val="both"/>
                  </w:pPr>
                  <w:r>
                    <w:rPr>
                      <w:color w:val="231F20"/>
                    </w:rPr>
                    <w:t>Furthermore, estimated liquidity costs must take into account the fund’s valuation policy (mid or bid price, etc.).</w:t>
                  </w:r>
                </w:p>
              </w:txbxContent>
            </v:textbox>
            <v:stroke dashstyle="solid"/>
          </v:shape>
        </w:pict>
      </w:r>
      <w:r>
        <w:rPr/>
      </w:r>
    </w:p>
    <w:p>
      <w:pPr>
        <w:pStyle w:val="Heading2"/>
        <w:numPr>
          <w:ilvl w:val="1"/>
          <w:numId w:val="3"/>
        </w:numPr>
        <w:tabs>
          <w:tab w:pos="729" w:val="left" w:leader="none"/>
        </w:tabs>
        <w:spacing w:line="242" w:lineRule="auto" w:before="0" w:after="0"/>
        <w:ind w:left="728" w:right="1948" w:hanging="399"/>
        <w:jc w:val="left"/>
        <w:rPr>
          <w:rFonts w:ascii="Arial"/>
        </w:rPr>
      </w:pPr>
      <w:bookmarkStart w:name="_TOC_250003" w:id="6"/>
      <w:r>
        <w:rPr>
          <w:rFonts w:ascii="Arial"/>
          <w:color w:val="CB4D2C"/>
          <w:spacing w:val="-1"/>
          <w:w w:val="89"/>
        </w:rPr>
        <w:br w:type="column"/>
      </w:r>
      <w:r>
        <w:rPr>
          <w:rFonts w:ascii="Arial"/>
          <w:color w:val="CB4D2C"/>
          <w:w w:val="115"/>
        </w:rPr>
        <w:t>Preventing</w:t>
      </w:r>
      <w:r>
        <w:rPr>
          <w:rFonts w:ascii="Arial"/>
          <w:color w:val="CB4D2C"/>
          <w:spacing w:val="-47"/>
          <w:w w:val="115"/>
        </w:rPr>
        <w:t> </w:t>
      </w:r>
      <w:r>
        <w:rPr>
          <w:rFonts w:ascii="Arial"/>
          <w:color w:val="CB4D2C"/>
          <w:w w:val="115"/>
        </w:rPr>
        <w:t>and</w:t>
      </w:r>
      <w:r>
        <w:rPr>
          <w:rFonts w:ascii="Arial"/>
          <w:color w:val="CB4D2C"/>
          <w:spacing w:val="-47"/>
          <w:w w:val="115"/>
        </w:rPr>
        <w:t> </w:t>
      </w:r>
      <w:r>
        <w:rPr>
          <w:rFonts w:ascii="Arial"/>
          <w:color w:val="CB4D2C"/>
          <w:w w:val="115"/>
        </w:rPr>
        <w:t>managing conflicts of</w:t>
      </w:r>
      <w:r>
        <w:rPr>
          <w:rFonts w:ascii="Arial"/>
          <w:color w:val="CB4D2C"/>
          <w:spacing w:val="-40"/>
          <w:w w:val="115"/>
        </w:rPr>
        <w:t> </w:t>
      </w:r>
      <w:bookmarkEnd w:id="6"/>
      <w:r>
        <w:rPr>
          <w:rFonts w:ascii="Arial"/>
          <w:color w:val="CB4D2C"/>
          <w:w w:val="115"/>
        </w:rPr>
        <w:t>interest</w:t>
      </w:r>
    </w:p>
    <w:p>
      <w:pPr>
        <w:pStyle w:val="BodyText"/>
        <w:spacing w:before="6"/>
        <w:rPr>
          <w:rFonts w:ascii="Arial"/>
          <w:sz w:val="4"/>
        </w:rPr>
      </w:pPr>
    </w:p>
    <w:p>
      <w:pPr>
        <w:pStyle w:val="BodyText"/>
        <w:spacing w:line="20" w:lineRule="exact"/>
        <w:ind w:left="326"/>
        <w:rPr>
          <w:rFonts w:ascii="Arial"/>
          <w:sz w:val="2"/>
        </w:rPr>
      </w:pPr>
      <w:r>
        <w:rPr>
          <w:rFonts w:ascii="Arial"/>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rFonts w:ascii="Arial"/>
          <w:sz w:val="2"/>
        </w:rPr>
      </w:r>
    </w:p>
    <w:p>
      <w:pPr>
        <w:pStyle w:val="BodyText"/>
        <w:spacing w:line="268" w:lineRule="auto" w:before="223"/>
        <w:ind w:left="329" w:right="913"/>
        <w:jc w:val="both"/>
      </w:pPr>
      <w:r>
        <w:rPr>
          <w:color w:val="231F20"/>
        </w:rPr>
        <w:t>The </w:t>
      </w:r>
      <w:r>
        <w:rPr>
          <w:color w:val="231F20"/>
          <w:spacing w:val="-3"/>
        </w:rPr>
        <w:t>management company </w:t>
      </w:r>
      <w:r>
        <w:rPr>
          <w:color w:val="231F20"/>
        </w:rPr>
        <w:t>should </w:t>
      </w:r>
      <w:r>
        <w:rPr>
          <w:color w:val="231F20"/>
          <w:spacing w:val="-3"/>
        </w:rPr>
        <w:t>implement pro- cedures</w:t>
      </w:r>
      <w:r>
        <w:rPr>
          <w:color w:val="231F20"/>
          <w:spacing w:val="-16"/>
        </w:rPr>
        <w:t> </w:t>
      </w:r>
      <w:r>
        <w:rPr>
          <w:color w:val="231F20"/>
        </w:rPr>
        <w:t>to</w:t>
      </w:r>
      <w:r>
        <w:rPr>
          <w:color w:val="231F20"/>
          <w:spacing w:val="-15"/>
        </w:rPr>
        <w:t> </w:t>
      </w:r>
      <w:r>
        <w:rPr>
          <w:color w:val="231F20"/>
          <w:spacing w:val="-3"/>
        </w:rPr>
        <w:t>identify</w:t>
      </w:r>
      <w:r>
        <w:rPr>
          <w:color w:val="231F20"/>
          <w:spacing w:val="-15"/>
        </w:rPr>
        <w:t> </w:t>
      </w:r>
      <w:r>
        <w:rPr>
          <w:color w:val="231F20"/>
        </w:rPr>
        <w:t>and</w:t>
      </w:r>
      <w:r>
        <w:rPr>
          <w:color w:val="231F20"/>
          <w:spacing w:val="-15"/>
        </w:rPr>
        <w:t> </w:t>
      </w:r>
      <w:r>
        <w:rPr>
          <w:color w:val="231F20"/>
          <w:spacing w:val="-3"/>
        </w:rPr>
        <w:t>manage</w:t>
      </w:r>
      <w:r>
        <w:rPr>
          <w:color w:val="231F20"/>
          <w:spacing w:val="-16"/>
        </w:rPr>
        <w:t> </w:t>
      </w:r>
      <w:r>
        <w:rPr>
          <w:color w:val="231F20"/>
          <w:spacing w:val="-3"/>
        </w:rPr>
        <w:t>conflicts</w:t>
      </w:r>
      <w:r>
        <w:rPr>
          <w:color w:val="231F20"/>
          <w:spacing w:val="-15"/>
        </w:rPr>
        <w:t> </w:t>
      </w:r>
      <w:r>
        <w:rPr>
          <w:color w:val="231F20"/>
        </w:rPr>
        <w:t>of</w:t>
      </w:r>
      <w:r>
        <w:rPr>
          <w:color w:val="231F20"/>
          <w:spacing w:val="-15"/>
        </w:rPr>
        <w:t> </w:t>
      </w:r>
      <w:r>
        <w:rPr>
          <w:color w:val="231F20"/>
          <w:spacing w:val="-3"/>
        </w:rPr>
        <w:t>interest </w:t>
      </w:r>
      <w:r>
        <w:rPr>
          <w:color w:val="231F20"/>
        </w:rPr>
        <w:t>linked to Swing </w:t>
      </w:r>
      <w:r>
        <w:rPr>
          <w:color w:val="231F20"/>
          <w:spacing w:val="-4"/>
        </w:rPr>
        <w:t>Pricing </w:t>
      </w:r>
      <w:r>
        <w:rPr>
          <w:color w:val="231F20"/>
        </w:rPr>
        <w:t>or ADLs; in </w:t>
      </w:r>
      <w:r>
        <w:rPr>
          <w:color w:val="231F20"/>
          <w:spacing w:val="-6"/>
        </w:rPr>
        <w:t>particular, </w:t>
      </w:r>
      <w:r>
        <w:rPr>
          <w:color w:val="231F20"/>
        </w:rPr>
        <w:t>such </w:t>
      </w:r>
      <w:r>
        <w:rPr>
          <w:color w:val="231F20"/>
          <w:spacing w:val="-3"/>
        </w:rPr>
        <w:t>procedures </w:t>
      </w:r>
      <w:r>
        <w:rPr>
          <w:color w:val="231F20"/>
        </w:rPr>
        <w:t>should </w:t>
      </w:r>
      <w:r>
        <w:rPr>
          <w:color w:val="231F20"/>
          <w:spacing w:val="-3"/>
        </w:rPr>
        <w:t>ensure that investors cannot take</w:t>
      </w:r>
      <w:r>
        <w:rPr>
          <w:color w:val="231F20"/>
          <w:spacing w:val="-19"/>
        </w:rPr>
        <w:t> </w:t>
      </w:r>
      <w:r>
        <w:rPr>
          <w:color w:val="231F20"/>
          <w:spacing w:val="-3"/>
        </w:rPr>
        <w:t>advantage</w:t>
      </w:r>
      <w:r>
        <w:rPr>
          <w:color w:val="231F20"/>
          <w:spacing w:val="-18"/>
        </w:rPr>
        <w:t> </w:t>
      </w:r>
      <w:r>
        <w:rPr>
          <w:color w:val="231F20"/>
        </w:rPr>
        <w:t>of</w:t>
      </w:r>
      <w:r>
        <w:rPr>
          <w:color w:val="231F20"/>
          <w:spacing w:val="-18"/>
        </w:rPr>
        <w:t> </w:t>
      </w:r>
      <w:r>
        <w:rPr>
          <w:color w:val="231F20"/>
          <w:spacing w:val="-3"/>
        </w:rPr>
        <w:t>knowledge</w:t>
      </w:r>
      <w:r>
        <w:rPr>
          <w:color w:val="231F20"/>
          <w:spacing w:val="-19"/>
        </w:rPr>
        <w:t> </w:t>
      </w:r>
      <w:r>
        <w:rPr>
          <w:color w:val="231F20"/>
        </w:rPr>
        <w:t>of</w:t>
      </w:r>
      <w:r>
        <w:rPr>
          <w:color w:val="231F20"/>
          <w:spacing w:val="-18"/>
        </w:rPr>
        <w:t> </w:t>
      </w:r>
      <w:r>
        <w:rPr>
          <w:color w:val="231F20"/>
        </w:rPr>
        <w:t>subscriptions</w:t>
      </w:r>
      <w:r>
        <w:rPr>
          <w:color w:val="231F20"/>
          <w:spacing w:val="-18"/>
        </w:rPr>
        <w:t> </w:t>
      </w:r>
      <w:r>
        <w:rPr>
          <w:color w:val="231F20"/>
        </w:rPr>
        <w:t>or</w:t>
      </w:r>
      <w:r>
        <w:rPr>
          <w:color w:val="231F20"/>
          <w:spacing w:val="-18"/>
        </w:rPr>
        <w:t> </w:t>
      </w:r>
      <w:r>
        <w:rPr>
          <w:color w:val="231F20"/>
        </w:rPr>
        <w:t>re- </w:t>
      </w:r>
      <w:r>
        <w:rPr>
          <w:color w:val="231F20"/>
          <w:spacing w:val="-3"/>
        </w:rPr>
        <w:t>demptions</w:t>
      </w:r>
      <w:r>
        <w:rPr>
          <w:color w:val="231F20"/>
          <w:spacing w:val="-18"/>
        </w:rPr>
        <w:t> </w:t>
      </w:r>
      <w:r>
        <w:rPr>
          <w:color w:val="231F20"/>
        </w:rPr>
        <w:t>so</w:t>
      </w:r>
      <w:r>
        <w:rPr>
          <w:color w:val="231F20"/>
          <w:spacing w:val="-16"/>
        </w:rPr>
        <w:t> </w:t>
      </w:r>
      <w:r>
        <w:rPr>
          <w:color w:val="231F20"/>
        </w:rPr>
        <w:t>as</w:t>
      </w:r>
      <w:r>
        <w:rPr>
          <w:color w:val="231F20"/>
          <w:spacing w:val="-17"/>
        </w:rPr>
        <w:t> </w:t>
      </w:r>
      <w:r>
        <w:rPr>
          <w:color w:val="231F20"/>
        </w:rPr>
        <w:t>to</w:t>
      </w:r>
      <w:r>
        <w:rPr>
          <w:color w:val="231F20"/>
          <w:spacing w:val="-18"/>
        </w:rPr>
        <w:t> </w:t>
      </w:r>
      <w:r>
        <w:rPr>
          <w:color w:val="231F20"/>
          <w:spacing w:val="-3"/>
        </w:rPr>
        <w:t>benefit</w:t>
      </w:r>
      <w:r>
        <w:rPr>
          <w:color w:val="231F20"/>
          <w:spacing w:val="-17"/>
        </w:rPr>
        <w:t> </w:t>
      </w:r>
      <w:r>
        <w:rPr>
          <w:color w:val="231F20"/>
        </w:rPr>
        <w:t>from</w:t>
      </w:r>
      <w:r>
        <w:rPr>
          <w:color w:val="231F20"/>
          <w:spacing w:val="-16"/>
        </w:rPr>
        <w:t> </w:t>
      </w:r>
      <w:r>
        <w:rPr>
          <w:color w:val="231F20"/>
          <w:spacing w:val="-3"/>
        </w:rPr>
        <w:t>more</w:t>
      </w:r>
      <w:r>
        <w:rPr>
          <w:color w:val="231F20"/>
          <w:spacing w:val="-17"/>
        </w:rPr>
        <w:t> </w:t>
      </w:r>
      <w:r>
        <w:rPr>
          <w:color w:val="231F20"/>
          <w:spacing w:val="-3"/>
        </w:rPr>
        <w:t>advantageous </w:t>
      </w:r>
      <w:r>
        <w:rPr>
          <w:color w:val="231F20"/>
        </w:rPr>
        <w:t>subscription or redemption </w:t>
      </w:r>
      <w:r>
        <w:rPr>
          <w:color w:val="231F20"/>
          <w:spacing w:val="-3"/>
        </w:rPr>
        <w:t>conditions. </w:t>
      </w:r>
      <w:r>
        <w:rPr>
          <w:color w:val="231F20"/>
        </w:rPr>
        <w:t>The </w:t>
      </w:r>
      <w:r>
        <w:rPr>
          <w:color w:val="231F20"/>
          <w:spacing w:val="-3"/>
        </w:rPr>
        <w:t>policy </w:t>
      </w:r>
      <w:r>
        <w:rPr>
          <w:color w:val="231F20"/>
        </w:rPr>
        <w:t>on</w:t>
      </w:r>
      <w:r>
        <w:rPr>
          <w:color w:val="231F20"/>
          <w:spacing w:val="-9"/>
        </w:rPr>
        <w:t> </w:t>
      </w:r>
      <w:r>
        <w:rPr>
          <w:color w:val="231F20"/>
        </w:rPr>
        <w:t>Swing</w:t>
      </w:r>
      <w:r>
        <w:rPr>
          <w:color w:val="231F20"/>
          <w:spacing w:val="-9"/>
        </w:rPr>
        <w:t> </w:t>
      </w:r>
      <w:r>
        <w:rPr>
          <w:color w:val="231F20"/>
          <w:spacing w:val="-4"/>
        </w:rPr>
        <w:t>Pricing</w:t>
      </w:r>
      <w:r>
        <w:rPr>
          <w:color w:val="231F20"/>
          <w:spacing w:val="-8"/>
        </w:rPr>
        <w:t> </w:t>
      </w:r>
      <w:r>
        <w:rPr>
          <w:color w:val="231F20"/>
        </w:rPr>
        <w:t>and</w:t>
      </w:r>
      <w:r>
        <w:rPr>
          <w:color w:val="231F20"/>
          <w:spacing w:val="-19"/>
        </w:rPr>
        <w:t> </w:t>
      </w:r>
      <w:r>
        <w:rPr>
          <w:color w:val="231F20"/>
        </w:rPr>
        <w:t>ADLs</w:t>
      </w:r>
      <w:r>
        <w:rPr>
          <w:color w:val="231F20"/>
          <w:spacing w:val="-9"/>
        </w:rPr>
        <w:t> </w:t>
      </w:r>
      <w:r>
        <w:rPr>
          <w:color w:val="231F20"/>
          <w:spacing w:val="-3"/>
        </w:rPr>
        <w:t>must</w:t>
      </w:r>
      <w:r>
        <w:rPr>
          <w:color w:val="231F20"/>
          <w:spacing w:val="-9"/>
        </w:rPr>
        <w:t> </w:t>
      </w:r>
      <w:r>
        <w:rPr>
          <w:color w:val="231F20"/>
        </w:rPr>
        <w:t>not</w:t>
      </w:r>
      <w:r>
        <w:rPr>
          <w:color w:val="231F20"/>
          <w:spacing w:val="-9"/>
        </w:rPr>
        <w:t> </w:t>
      </w:r>
      <w:r>
        <w:rPr>
          <w:color w:val="231F20"/>
          <w:spacing w:val="-3"/>
        </w:rPr>
        <w:t>affect</w:t>
      </w:r>
      <w:r>
        <w:rPr>
          <w:color w:val="231F20"/>
          <w:spacing w:val="-9"/>
        </w:rPr>
        <w:t> </w:t>
      </w:r>
      <w:r>
        <w:rPr>
          <w:color w:val="231F20"/>
        </w:rPr>
        <w:t>the</w:t>
      </w:r>
      <w:r>
        <w:rPr>
          <w:color w:val="231F20"/>
          <w:spacing w:val="-9"/>
        </w:rPr>
        <w:t> </w:t>
      </w:r>
      <w:r>
        <w:rPr>
          <w:color w:val="231F20"/>
          <w:spacing w:val="-3"/>
        </w:rPr>
        <w:t>prin- ciple </w:t>
      </w:r>
      <w:r>
        <w:rPr>
          <w:color w:val="231F20"/>
        </w:rPr>
        <w:t>of valuation on a forward </w:t>
      </w:r>
      <w:r>
        <w:rPr>
          <w:color w:val="231F20"/>
          <w:spacing w:val="-3"/>
        </w:rPr>
        <w:t>pricing</w:t>
      </w:r>
      <w:r>
        <w:rPr>
          <w:color w:val="231F20"/>
          <w:spacing w:val="-39"/>
        </w:rPr>
        <w:t> </w:t>
      </w:r>
      <w:r>
        <w:rPr>
          <w:color w:val="231F20"/>
          <w:spacing w:val="-3"/>
        </w:rPr>
        <w:t>basis.</w:t>
      </w:r>
    </w:p>
    <w:p>
      <w:pPr>
        <w:pStyle w:val="BodyText"/>
        <w:spacing w:line="268" w:lineRule="auto" w:before="113"/>
        <w:ind w:left="329" w:right="912"/>
        <w:jc w:val="both"/>
      </w:pPr>
      <w:r>
        <w:rPr>
          <w:color w:val="231F20"/>
        </w:rPr>
        <w:t>In </w:t>
      </w:r>
      <w:r>
        <w:rPr>
          <w:color w:val="231F20"/>
          <w:spacing w:val="-4"/>
        </w:rPr>
        <w:t>particular, </w:t>
      </w:r>
      <w:r>
        <w:rPr>
          <w:color w:val="231F20"/>
        </w:rPr>
        <w:t>the policy should cover the</w:t>
      </w:r>
      <w:r>
        <w:rPr>
          <w:color w:val="231F20"/>
          <w:spacing w:val="-44"/>
        </w:rPr>
        <w:t> </w:t>
      </w:r>
      <w:r>
        <w:rPr>
          <w:color w:val="231F20"/>
        </w:rPr>
        <w:t>following conflict</w:t>
      </w:r>
      <w:r>
        <w:rPr>
          <w:color w:val="231F20"/>
          <w:spacing w:val="-2"/>
        </w:rPr>
        <w:t> </w:t>
      </w:r>
      <w:r>
        <w:rPr>
          <w:color w:val="231F20"/>
        </w:rPr>
        <w:t>situations:</w:t>
      </w:r>
    </w:p>
    <w:p>
      <w:pPr>
        <w:pStyle w:val="BodyText"/>
        <w:spacing w:line="268" w:lineRule="auto" w:before="56"/>
        <w:ind w:left="480" w:right="913"/>
        <w:jc w:val="both"/>
      </w:pPr>
      <w:r>
        <w:rPr/>
        <w:pict>
          <v:rect style="position:absolute;margin-left:306.990997pt;margin-top:7.291663pt;width:3.898pt;height:3.898pt;mso-position-horizontal-relative:page;mso-position-vertical-relative:paragraph;z-index:15752704" filled="true" fillcolor="#cb4d2c" stroked="false">
            <v:fill type="solid"/>
            <w10:wrap type="none"/>
          </v:rect>
        </w:pict>
      </w:r>
      <w:r>
        <w:rPr>
          <w:color w:val="231F20"/>
        </w:rPr>
        <w:t>The use, for the benefit of an investment fund, a</w:t>
      </w:r>
      <w:r>
        <w:rPr>
          <w:color w:val="231F20"/>
          <w:spacing w:val="-7"/>
        </w:rPr>
        <w:t> </w:t>
      </w:r>
      <w:r>
        <w:rPr>
          <w:color w:val="231F20"/>
        </w:rPr>
        <w:t>client</w:t>
      </w:r>
      <w:r>
        <w:rPr>
          <w:color w:val="231F20"/>
          <w:spacing w:val="-6"/>
        </w:rPr>
        <w:t> </w:t>
      </w:r>
      <w:r>
        <w:rPr>
          <w:color w:val="231F20"/>
        </w:rPr>
        <w:t>or</w:t>
      </w:r>
      <w:r>
        <w:rPr>
          <w:color w:val="231F20"/>
          <w:spacing w:val="-7"/>
        </w:rPr>
        <w:t> </w:t>
      </w:r>
      <w:r>
        <w:rPr>
          <w:color w:val="231F20"/>
        </w:rPr>
        <w:t>a</w:t>
      </w:r>
      <w:r>
        <w:rPr>
          <w:color w:val="231F20"/>
          <w:spacing w:val="-6"/>
        </w:rPr>
        <w:t> </w:t>
      </w:r>
      <w:r>
        <w:rPr>
          <w:color w:val="231F20"/>
        </w:rPr>
        <w:t>proprietary</w:t>
      </w:r>
      <w:r>
        <w:rPr>
          <w:color w:val="231F20"/>
          <w:spacing w:val="-7"/>
        </w:rPr>
        <w:t> </w:t>
      </w:r>
      <w:r>
        <w:rPr>
          <w:color w:val="231F20"/>
        </w:rPr>
        <w:t>account</w:t>
      </w:r>
      <w:r>
        <w:rPr>
          <w:color w:val="231F20"/>
          <w:spacing w:val="-6"/>
        </w:rPr>
        <w:t> </w:t>
      </w:r>
      <w:r>
        <w:rPr>
          <w:color w:val="231F20"/>
        </w:rPr>
        <w:t>of</w:t>
      </w:r>
      <w:r>
        <w:rPr>
          <w:color w:val="231F20"/>
          <w:spacing w:val="-7"/>
        </w:rPr>
        <w:t> </w:t>
      </w:r>
      <w:r>
        <w:rPr>
          <w:color w:val="231F20"/>
        </w:rPr>
        <w:t>the</w:t>
      </w:r>
      <w:r>
        <w:rPr>
          <w:color w:val="231F20"/>
          <w:spacing w:val="-6"/>
        </w:rPr>
        <w:t> </w:t>
      </w:r>
      <w:r>
        <w:rPr>
          <w:color w:val="231F20"/>
        </w:rPr>
        <w:t>manage- ment </w:t>
      </w:r>
      <w:r>
        <w:rPr>
          <w:color w:val="231F20"/>
          <w:spacing w:val="-4"/>
        </w:rPr>
        <w:t>company, </w:t>
      </w:r>
      <w:r>
        <w:rPr>
          <w:color w:val="231F20"/>
        </w:rPr>
        <w:t>of knowledge of a change in liabilities</w:t>
      </w:r>
      <w:r>
        <w:rPr>
          <w:color w:val="231F20"/>
          <w:spacing w:val="-9"/>
        </w:rPr>
        <w:t> </w:t>
      </w:r>
      <w:r>
        <w:rPr>
          <w:color w:val="231F20"/>
        </w:rPr>
        <w:t>to</w:t>
      </w:r>
      <w:r>
        <w:rPr>
          <w:color w:val="231F20"/>
          <w:spacing w:val="-9"/>
        </w:rPr>
        <w:t> </w:t>
      </w:r>
      <w:r>
        <w:rPr>
          <w:color w:val="231F20"/>
        </w:rPr>
        <w:t>place</w:t>
      </w:r>
      <w:r>
        <w:rPr>
          <w:color w:val="231F20"/>
          <w:spacing w:val="-8"/>
        </w:rPr>
        <w:t> </w:t>
      </w:r>
      <w:r>
        <w:rPr>
          <w:color w:val="231F20"/>
        </w:rPr>
        <w:t>an</w:t>
      </w:r>
      <w:r>
        <w:rPr>
          <w:color w:val="231F20"/>
          <w:spacing w:val="-8"/>
        </w:rPr>
        <w:t> </w:t>
      </w:r>
      <w:r>
        <w:rPr>
          <w:color w:val="231F20"/>
        </w:rPr>
        <w:t>opposite</w:t>
      </w:r>
      <w:r>
        <w:rPr>
          <w:color w:val="231F20"/>
          <w:spacing w:val="-9"/>
        </w:rPr>
        <w:t> </w:t>
      </w:r>
      <w:r>
        <w:rPr>
          <w:color w:val="231F20"/>
        </w:rPr>
        <w:t>transaction</w:t>
      </w:r>
      <w:r>
        <w:rPr>
          <w:color w:val="231F20"/>
          <w:spacing w:val="-8"/>
        </w:rPr>
        <w:t> </w:t>
      </w:r>
      <w:r>
        <w:rPr>
          <w:color w:val="231F20"/>
        </w:rPr>
        <w:t>under favourable</w:t>
      </w:r>
      <w:r>
        <w:rPr>
          <w:color w:val="231F20"/>
          <w:spacing w:val="-1"/>
        </w:rPr>
        <w:t> </w:t>
      </w:r>
      <w:r>
        <w:rPr>
          <w:color w:val="231F20"/>
        </w:rPr>
        <w:t>conditions;</w:t>
      </w:r>
    </w:p>
    <w:p>
      <w:pPr>
        <w:pStyle w:val="BodyText"/>
        <w:spacing w:line="268" w:lineRule="auto" w:before="57"/>
        <w:ind w:left="480" w:right="913"/>
        <w:jc w:val="both"/>
      </w:pPr>
      <w:r>
        <w:rPr/>
        <w:pict>
          <v:rect style="position:absolute;margin-left:306.990997pt;margin-top:7.342037pt;width:3.898pt;height:3.898pt;mso-position-horizontal-relative:page;mso-position-vertical-relative:paragraph;z-index:15753216" filled="true" fillcolor="#cb4d2c" stroked="false">
            <v:fill type="solid"/>
            <w10:wrap type="none"/>
          </v:rect>
        </w:pict>
      </w:r>
      <w:r>
        <w:rPr>
          <w:color w:val="231F20"/>
        </w:rPr>
        <w:t>The use, for the benefit of an investment fund, a</w:t>
      </w:r>
      <w:r>
        <w:rPr>
          <w:color w:val="231F20"/>
          <w:spacing w:val="-7"/>
        </w:rPr>
        <w:t> </w:t>
      </w:r>
      <w:r>
        <w:rPr>
          <w:color w:val="231F20"/>
        </w:rPr>
        <w:t>client</w:t>
      </w:r>
      <w:r>
        <w:rPr>
          <w:color w:val="231F20"/>
          <w:spacing w:val="-6"/>
        </w:rPr>
        <w:t> </w:t>
      </w:r>
      <w:r>
        <w:rPr>
          <w:color w:val="231F20"/>
        </w:rPr>
        <w:t>or</w:t>
      </w:r>
      <w:r>
        <w:rPr>
          <w:color w:val="231F20"/>
          <w:spacing w:val="-6"/>
        </w:rPr>
        <w:t> </w:t>
      </w:r>
      <w:r>
        <w:rPr>
          <w:color w:val="231F20"/>
        </w:rPr>
        <w:t>a</w:t>
      </w:r>
      <w:r>
        <w:rPr>
          <w:color w:val="231F20"/>
          <w:spacing w:val="-6"/>
        </w:rPr>
        <w:t> </w:t>
      </w:r>
      <w:r>
        <w:rPr>
          <w:color w:val="231F20"/>
        </w:rPr>
        <w:t>proprietary</w:t>
      </w:r>
      <w:r>
        <w:rPr>
          <w:color w:val="231F20"/>
          <w:spacing w:val="-6"/>
        </w:rPr>
        <w:t> </w:t>
      </w:r>
      <w:r>
        <w:rPr>
          <w:color w:val="231F20"/>
        </w:rPr>
        <w:t>account</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manage- ment </w:t>
      </w:r>
      <w:r>
        <w:rPr>
          <w:color w:val="231F20"/>
          <w:spacing w:val="-4"/>
        </w:rPr>
        <w:t>company, </w:t>
      </w:r>
      <w:r>
        <w:rPr>
          <w:color w:val="231F20"/>
        </w:rPr>
        <w:t>of detailed knowledge of Swing Pricing or ADL parameters to place</w:t>
      </w:r>
      <w:r>
        <w:rPr>
          <w:color w:val="231F20"/>
          <w:spacing w:val="-31"/>
        </w:rPr>
        <w:t> </w:t>
      </w:r>
      <w:r>
        <w:rPr>
          <w:color w:val="231F20"/>
        </w:rPr>
        <w:t>subscriptions or </w:t>
      </w:r>
      <w:r>
        <w:rPr>
          <w:color w:val="231F20"/>
          <w:spacing w:val="-4"/>
        </w:rPr>
        <w:t>redemptions orders </w:t>
      </w:r>
      <w:r>
        <w:rPr>
          <w:color w:val="231F20"/>
          <w:spacing w:val="-3"/>
        </w:rPr>
        <w:t>in </w:t>
      </w:r>
      <w:r>
        <w:rPr>
          <w:color w:val="231F20"/>
          <w:spacing w:val="-4"/>
        </w:rPr>
        <w:t>the </w:t>
      </w:r>
      <w:r>
        <w:rPr>
          <w:color w:val="231F20"/>
          <w:spacing w:val="-3"/>
        </w:rPr>
        <w:t>fund </w:t>
      </w:r>
      <w:r>
        <w:rPr>
          <w:color w:val="231F20"/>
          <w:spacing w:val="-4"/>
        </w:rPr>
        <w:t>under </w:t>
      </w:r>
      <w:r>
        <w:rPr>
          <w:color w:val="231F20"/>
          <w:spacing w:val="-5"/>
        </w:rPr>
        <w:t>preferen- </w:t>
      </w:r>
      <w:r>
        <w:rPr>
          <w:color w:val="231F20"/>
        </w:rPr>
        <w:t>tial</w:t>
      </w:r>
      <w:r>
        <w:rPr>
          <w:color w:val="231F20"/>
          <w:spacing w:val="-2"/>
        </w:rPr>
        <w:t> </w:t>
      </w:r>
      <w:r>
        <w:rPr>
          <w:color w:val="231F20"/>
        </w:rPr>
        <w:t>conditions;</w:t>
      </w:r>
    </w:p>
    <w:p>
      <w:pPr>
        <w:pStyle w:val="BodyText"/>
        <w:spacing w:line="268" w:lineRule="auto" w:before="56"/>
        <w:ind w:left="480" w:right="912"/>
        <w:jc w:val="both"/>
      </w:pPr>
      <w:r>
        <w:rPr/>
        <w:pict>
          <v:rect style="position:absolute;margin-left:306.990997pt;margin-top:7.291351pt;width:3.898pt;height:3.898pt;mso-position-horizontal-relative:page;mso-position-vertical-relative:paragraph;z-index:15753728" filled="true" fillcolor="#cb4d2c" stroked="false">
            <v:fill type="solid"/>
            <w10:wrap type="none"/>
          </v:rect>
        </w:pict>
      </w:r>
      <w:r>
        <w:rPr>
          <w:color w:val="231F20"/>
        </w:rPr>
        <w:t>Subscription or redemption by an investment fund, or on a proprietary basis for the manage- ment </w:t>
      </w:r>
      <w:r>
        <w:rPr>
          <w:color w:val="231F20"/>
          <w:spacing w:val="-4"/>
        </w:rPr>
        <w:t>company, </w:t>
      </w:r>
      <w:r>
        <w:rPr>
          <w:color w:val="231F20"/>
        </w:rPr>
        <w:t>of an investment fund subject to Swing Pricing in order to increase or reduce its net asset value and thus influence its perfor- mance, and more specifically its classification relative to other investment</w:t>
      </w:r>
      <w:r>
        <w:rPr>
          <w:color w:val="231F20"/>
          <w:spacing w:val="-4"/>
        </w:rPr>
        <w:t> </w:t>
      </w:r>
      <w:r>
        <w:rPr>
          <w:color w:val="231F20"/>
        </w:rPr>
        <w:t>funds.</w:t>
      </w:r>
    </w:p>
    <w:p>
      <w:pPr>
        <w:pStyle w:val="BodyText"/>
        <w:spacing w:line="268" w:lineRule="auto" w:before="112"/>
        <w:ind w:left="329" w:right="912"/>
        <w:jc w:val="both"/>
      </w:pPr>
      <w:r>
        <w:rPr>
          <w:color w:val="231F20"/>
        </w:rPr>
        <w:t>Furthermore, </w:t>
      </w:r>
      <w:r>
        <w:rPr>
          <w:color w:val="231F20"/>
          <w:spacing w:val="-3"/>
        </w:rPr>
        <w:t>transactions </w:t>
      </w:r>
      <w:r>
        <w:rPr>
          <w:color w:val="231F20"/>
        </w:rPr>
        <w:t>operated in the </w:t>
      </w:r>
      <w:r>
        <w:rPr>
          <w:color w:val="231F20"/>
          <w:spacing w:val="-3"/>
        </w:rPr>
        <w:t>market </w:t>
      </w:r>
      <w:r>
        <w:rPr>
          <w:color w:val="231F20"/>
        </w:rPr>
        <w:t>relative</w:t>
      </w:r>
      <w:r>
        <w:rPr>
          <w:color w:val="231F20"/>
          <w:spacing w:val="-10"/>
        </w:rPr>
        <w:t> </w:t>
      </w:r>
      <w:r>
        <w:rPr>
          <w:color w:val="231F20"/>
        </w:rPr>
        <w:t>to</w:t>
      </w:r>
      <w:r>
        <w:rPr>
          <w:color w:val="231F20"/>
          <w:spacing w:val="-10"/>
        </w:rPr>
        <w:t> </w:t>
      </w:r>
      <w:r>
        <w:rPr>
          <w:color w:val="231F20"/>
        </w:rPr>
        <w:t>subscriptions</w:t>
      </w:r>
      <w:r>
        <w:rPr>
          <w:color w:val="231F20"/>
          <w:spacing w:val="-10"/>
        </w:rPr>
        <w:t> </w:t>
      </w:r>
      <w:r>
        <w:rPr>
          <w:color w:val="231F20"/>
        </w:rPr>
        <w:t>or</w:t>
      </w:r>
      <w:r>
        <w:rPr>
          <w:color w:val="231F20"/>
          <w:spacing w:val="-11"/>
        </w:rPr>
        <w:t> </w:t>
      </w:r>
      <w:r>
        <w:rPr>
          <w:color w:val="231F20"/>
        </w:rPr>
        <w:t>redemptions</w:t>
      </w:r>
      <w:r>
        <w:rPr>
          <w:color w:val="231F20"/>
          <w:spacing w:val="-10"/>
        </w:rPr>
        <w:t> </w:t>
      </w:r>
      <w:r>
        <w:rPr>
          <w:color w:val="231F20"/>
        </w:rPr>
        <w:t>of</w:t>
      </w:r>
      <w:r>
        <w:rPr>
          <w:color w:val="231F20"/>
          <w:spacing w:val="-10"/>
        </w:rPr>
        <w:t> </w:t>
      </w:r>
      <w:r>
        <w:rPr>
          <w:color w:val="231F20"/>
          <w:spacing w:val="-3"/>
        </w:rPr>
        <w:t>units</w:t>
      </w:r>
      <w:r>
        <w:rPr>
          <w:color w:val="231F20"/>
          <w:spacing w:val="-10"/>
        </w:rPr>
        <w:t> </w:t>
      </w:r>
      <w:r>
        <w:rPr>
          <w:color w:val="231F20"/>
        </w:rPr>
        <w:t>of </w:t>
      </w:r>
      <w:r>
        <w:rPr>
          <w:color w:val="231F20"/>
          <w:spacing w:val="-3"/>
        </w:rPr>
        <w:t>investment </w:t>
      </w:r>
      <w:r>
        <w:rPr>
          <w:color w:val="231F20"/>
        </w:rPr>
        <w:t>funds subject to Swing </w:t>
      </w:r>
      <w:r>
        <w:rPr>
          <w:color w:val="231F20"/>
          <w:spacing w:val="-4"/>
        </w:rPr>
        <w:t>Pricing </w:t>
      </w:r>
      <w:r>
        <w:rPr>
          <w:color w:val="231F20"/>
        </w:rPr>
        <w:t>or ADLs shall be subject to the </w:t>
      </w:r>
      <w:r>
        <w:rPr>
          <w:color w:val="231F20"/>
          <w:spacing w:val="-3"/>
        </w:rPr>
        <w:t>management </w:t>
      </w:r>
      <w:r>
        <w:rPr>
          <w:color w:val="231F20"/>
          <w:spacing w:val="-5"/>
        </w:rPr>
        <w:t>company’s </w:t>
      </w:r>
      <w:r>
        <w:rPr>
          <w:color w:val="231F20"/>
          <w:spacing w:val="-3"/>
        </w:rPr>
        <w:t>best execution</w:t>
      </w:r>
      <w:r>
        <w:rPr>
          <w:color w:val="231F20"/>
          <w:spacing w:val="-7"/>
        </w:rPr>
        <w:t> </w:t>
      </w:r>
      <w:r>
        <w:rPr>
          <w:color w:val="231F20"/>
          <w:spacing w:val="-6"/>
        </w:rPr>
        <w:t>policy.</w:t>
      </w:r>
    </w:p>
    <w:p>
      <w:pPr>
        <w:spacing w:after="0" w:line="268" w:lineRule="auto"/>
        <w:jc w:val="both"/>
        <w:sectPr>
          <w:type w:val="continuous"/>
          <w:pgSz w:w="11910" w:h="16840"/>
          <w:pgMar w:top="1580" w:bottom="280" w:left="340" w:right="360"/>
          <w:cols w:num="2" w:equalWidth="0">
            <w:col w:w="5431" w:space="40"/>
            <w:col w:w="5739"/>
          </w:cols>
        </w:sectPr>
      </w:pPr>
    </w:p>
    <w:p>
      <w:pPr>
        <w:pStyle w:val="BodyText"/>
        <w:spacing w:before="1"/>
        <w:rPr>
          <w:sz w:val="28"/>
        </w:rPr>
      </w:pPr>
    </w:p>
    <w:p>
      <w:pPr>
        <w:pStyle w:val="BodyText"/>
        <w:spacing w:line="20" w:lineRule="exact"/>
        <w:ind w:left="932" w:right="-58"/>
        <w:rPr>
          <w:sz w:val="2"/>
        </w:rPr>
      </w:pPr>
      <w:r>
        <w:rPr>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sz w:val="2"/>
        </w:rPr>
      </w:r>
    </w:p>
    <w:p>
      <w:pPr>
        <w:pStyle w:val="Heading2"/>
        <w:numPr>
          <w:ilvl w:val="1"/>
          <w:numId w:val="3"/>
        </w:numPr>
        <w:tabs>
          <w:tab w:pos="1345" w:val="left" w:leader="none"/>
        </w:tabs>
        <w:spacing w:line="240" w:lineRule="auto" w:before="44" w:after="0"/>
        <w:ind w:left="1344" w:right="0" w:hanging="410"/>
        <w:jc w:val="left"/>
        <w:rPr>
          <w:rFonts w:ascii="Arial"/>
        </w:rPr>
      </w:pPr>
      <w:r>
        <w:rPr>
          <w:rFonts w:ascii="Arial"/>
          <w:color w:val="CB4D2C"/>
          <w:w w:val="110"/>
        </w:rPr>
        <w:t>Regulatory</w:t>
      </w:r>
      <w:r>
        <w:rPr>
          <w:rFonts w:ascii="Arial"/>
          <w:color w:val="CB4D2C"/>
          <w:spacing w:val="-3"/>
          <w:w w:val="110"/>
        </w:rPr>
        <w:t> </w:t>
      </w:r>
      <w:r>
        <w:rPr>
          <w:rFonts w:ascii="Arial"/>
          <w:color w:val="CB4D2C"/>
          <w:w w:val="110"/>
        </w:rPr>
        <w:t>documents,</w:t>
      </w:r>
    </w:p>
    <w:p>
      <w:pPr>
        <w:spacing w:line="242" w:lineRule="auto" w:before="4"/>
        <w:ind w:left="1344" w:right="0" w:firstLine="0"/>
        <w:jc w:val="left"/>
        <w:rPr>
          <w:rFonts w:ascii="Arial"/>
          <w:sz w:val="24"/>
        </w:rPr>
      </w:pPr>
      <w:r>
        <w:rPr>
          <w:rFonts w:ascii="Arial"/>
          <w:color w:val="CB4D2C"/>
          <w:w w:val="110"/>
          <w:sz w:val="24"/>
        </w:rPr>
        <w:t>investor information and transition period for existing funds</w:t>
      </w:r>
    </w:p>
    <w:p>
      <w:pPr>
        <w:pStyle w:val="BodyText"/>
        <w:spacing w:before="2"/>
        <w:rPr>
          <w:rFonts w:ascii="Arial"/>
          <w:sz w:val="5"/>
        </w:rPr>
      </w:pPr>
    </w:p>
    <w:p>
      <w:pPr>
        <w:pStyle w:val="BodyText"/>
        <w:spacing w:line="20" w:lineRule="exact"/>
        <w:ind w:left="932" w:right="-58"/>
        <w:rPr>
          <w:rFonts w:ascii="Arial"/>
          <w:sz w:val="2"/>
        </w:rPr>
      </w:pPr>
      <w:r>
        <w:rPr>
          <w:rFonts w:ascii="Arial"/>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rFonts w:ascii="Arial"/>
          <w:sz w:val="2"/>
        </w:rPr>
      </w:r>
    </w:p>
    <w:p>
      <w:pPr>
        <w:pStyle w:val="Heading3"/>
        <w:numPr>
          <w:ilvl w:val="2"/>
          <w:numId w:val="3"/>
        </w:numPr>
        <w:tabs>
          <w:tab w:pos="1507" w:val="left" w:leader="none"/>
        </w:tabs>
        <w:spacing w:line="240" w:lineRule="auto" w:before="223" w:after="0"/>
        <w:ind w:left="1506" w:right="0" w:hanging="572"/>
        <w:jc w:val="left"/>
      </w:pPr>
      <w:r>
        <w:rPr>
          <w:color w:val="CB4D2C"/>
        </w:rPr>
        <w:t>Regulatory</w:t>
      </w:r>
      <w:r>
        <w:rPr>
          <w:color w:val="CB4D2C"/>
          <w:spacing w:val="5"/>
        </w:rPr>
        <w:t> </w:t>
      </w:r>
      <w:r>
        <w:rPr>
          <w:color w:val="CB4D2C"/>
        </w:rPr>
        <w:t>documentation</w:t>
      </w:r>
    </w:p>
    <w:p>
      <w:pPr>
        <w:pStyle w:val="BodyText"/>
        <w:spacing w:line="268" w:lineRule="auto" w:before="142"/>
        <w:ind w:left="935"/>
        <w:jc w:val="both"/>
      </w:pPr>
      <w:r>
        <w:rPr>
          <w:color w:val="231F20"/>
        </w:rPr>
        <w:t>The management company shall inform the AMF and the investment fund’s independent auditor of the implementation of Swing Pricing or ADLs, and makes available to them the previously established procedures.</w:t>
      </w:r>
    </w:p>
    <w:p>
      <w:pPr>
        <w:pStyle w:val="BodyText"/>
        <w:rPr>
          <w:sz w:val="22"/>
        </w:rPr>
      </w:pPr>
    </w:p>
    <w:p>
      <w:pPr>
        <w:pStyle w:val="Heading3"/>
        <w:numPr>
          <w:ilvl w:val="2"/>
          <w:numId w:val="3"/>
        </w:numPr>
        <w:tabs>
          <w:tab w:pos="1507" w:val="left" w:leader="none"/>
        </w:tabs>
        <w:spacing w:line="240" w:lineRule="auto" w:before="197" w:after="0"/>
        <w:ind w:left="1506" w:right="0" w:hanging="572"/>
        <w:jc w:val="left"/>
      </w:pPr>
      <w:r>
        <w:rPr>
          <w:color w:val="CB4D2C"/>
        </w:rPr>
        <w:t>Investor</w:t>
      </w:r>
      <w:r>
        <w:rPr>
          <w:color w:val="CB4D2C"/>
          <w:spacing w:val="3"/>
        </w:rPr>
        <w:t> </w:t>
      </w:r>
      <w:r>
        <w:rPr>
          <w:color w:val="CB4D2C"/>
        </w:rPr>
        <w:t>information</w:t>
      </w:r>
    </w:p>
    <w:p>
      <w:pPr>
        <w:pStyle w:val="BodyText"/>
        <w:spacing w:line="268" w:lineRule="auto" w:before="141"/>
        <w:ind w:left="935" w:right="3"/>
        <w:jc w:val="both"/>
      </w:pPr>
      <w:r>
        <w:rPr>
          <w:color w:val="231F20"/>
        </w:rPr>
        <w:t>The management company states in the statuto- ry materials that they make use of Swing Pricing or ADLs. In </w:t>
      </w:r>
      <w:r>
        <w:rPr>
          <w:color w:val="231F20"/>
          <w:spacing w:val="-4"/>
        </w:rPr>
        <w:t>particular, </w:t>
      </w:r>
      <w:r>
        <w:rPr>
          <w:color w:val="231F20"/>
        </w:rPr>
        <w:t>it indicates the general principles of the chosen </w:t>
      </w:r>
      <w:r>
        <w:rPr>
          <w:color w:val="231F20"/>
          <w:spacing w:val="-3"/>
        </w:rPr>
        <w:t>methodology. </w:t>
      </w:r>
      <w:r>
        <w:rPr>
          <w:color w:val="231F20"/>
        </w:rPr>
        <w:t>Further- more, it should not disclose  parameters  that  are too detailed and recent so that to enable    an investor to amend his / her subscription or redemption strategy so as to take advantage of more advantageous conditions and thus reduce the Swing Pricing mechanism’s </w:t>
      </w:r>
      <w:r>
        <w:rPr>
          <w:color w:val="231F20"/>
          <w:spacing w:val="-4"/>
        </w:rPr>
        <w:t>efficiency. </w:t>
      </w:r>
      <w:r>
        <w:rPr>
          <w:color w:val="231F20"/>
        </w:rPr>
        <w:t>In par- </w:t>
      </w:r>
      <w:r>
        <w:rPr>
          <w:color w:val="231F20"/>
          <w:spacing w:val="-5"/>
        </w:rPr>
        <w:t>ticular, </w:t>
      </w:r>
      <w:r>
        <w:rPr>
          <w:color w:val="231F20"/>
        </w:rPr>
        <w:t>the management company does not com- municate (in writing or orally) the current levels of the trigger thresholds. </w:t>
      </w:r>
      <w:r>
        <w:rPr>
          <w:color w:val="231F20"/>
          <w:spacing w:val="-13"/>
        </w:rPr>
        <w:t>To </w:t>
      </w:r>
      <w:r>
        <w:rPr>
          <w:color w:val="231F20"/>
        </w:rPr>
        <w:t>this end, it notably ensures that the internal circuits of information are restricted to favour the conservation of the confidential</w:t>
      </w:r>
      <w:r>
        <w:rPr>
          <w:color w:val="231F20"/>
          <w:spacing w:val="-24"/>
        </w:rPr>
        <w:t> </w:t>
      </w:r>
      <w:r>
        <w:rPr>
          <w:color w:val="231F20"/>
        </w:rPr>
        <w:t>character</w:t>
      </w:r>
      <w:r>
        <w:rPr>
          <w:color w:val="231F20"/>
          <w:spacing w:val="-24"/>
        </w:rPr>
        <w:t> </w:t>
      </w:r>
      <w:r>
        <w:rPr>
          <w:color w:val="231F20"/>
        </w:rPr>
        <w:t>of</w:t>
      </w:r>
      <w:r>
        <w:rPr>
          <w:color w:val="231F20"/>
          <w:spacing w:val="-23"/>
        </w:rPr>
        <w:t> </w:t>
      </w:r>
      <w:r>
        <w:rPr>
          <w:color w:val="231F20"/>
        </w:rPr>
        <w:t>this</w:t>
      </w:r>
      <w:r>
        <w:rPr>
          <w:color w:val="231F20"/>
          <w:spacing w:val="-24"/>
        </w:rPr>
        <w:t> </w:t>
      </w:r>
      <w:r>
        <w:rPr>
          <w:color w:val="231F20"/>
        </w:rPr>
        <w:t>piece</w:t>
      </w:r>
      <w:r>
        <w:rPr>
          <w:color w:val="231F20"/>
          <w:spacing w:val="-23"/>
        </w:rPr>
        <w:t> </w:t>
      </w:r>
      <w:r>
        <w:rPr>
          <w:color w:val="231F20"/>
        </w:rPr>
        <w:t>of</w:t>
      </w:r>
      <w:r>
        <w:rPr>
          <w:color w:val="231F20"/>
          <w:spacing w:val="-24"/>
        </w:rPr>
        <w:t> </w:t>
      </w:r>
      <w:r>
        <w:rPr>
          <w:color w:val="231F20"/>
        </w:rPr>
        <w:t>information.</w:t>
      </w:r>
    </w:p>
    <w:p>
      <w:pPr>
        <w:pStyle w:val="BodyText"/>
        <w:spacing w:line="268" w:lineRule="auto" w:before="112"/>
        <w:ind w:left="935" w:right="2"/>
        <w:jc w:val="both"/>
      </w:pPr>
      <w:r>
        <w:rPr>
          <w:color w:val="231F20"/>
        </w:rPr>
        <w:t>The principles used for Swing Pricing should be set out in the valuation and accounting rules laid down in the prospectus. Where applicable, the impact of Swing Pricing on the Synthetic Risk and </w:t>
      </w:r>
      <w:r>
        <w:rPr>
          <w:color w:val="231F20"/>
          <w:spacing w:val="-3"/>
        </w:rPr>
        <w:t>Reward </w:t>
      </w:r>
      <w:r>
        <w:rPr>
          <w:color w:val="231F20"/>
        </w:rPr>
        <w:t>Indicator (SRRI) may be indicated in the narrative explaining the </w:t>
      </w:r>
      <w:r>
        <w:rPr>
          <w:color w:val="231F20"/>
          <w:spacing w:val="-3"/>
        </w:rPr>
        <w:t>fund’s </w:t>
      </w:r>
      <w:r>
        <w:rPr>
          <w:color w:val="231F20"/>
        </w:rPr>
        <w:t>level of</w:t>
      </w:r>
      <w:r>
        <w:rPr>
          <w:color w:val="231F20"/>
          <w:spacing w:val="-7"/>
        </w:rPr>
        <w:t> </w:t>
      </w:r>
      <w:r>
        <w:rPr>
          <w:color w:val="231F20"/>
        </w:rPr>
        <w:t>risk.</w:t>
      </w:r>
    </w:p>
    <w:p>
      <w:pPr>
        <w:pStyle w:val="BodyText"/>
        <w:spacing w:line="268" w:lineRule="auto" w:before="113"/>
        <w:ind w:left="935" w:right="4"/>
        <w:jc w:val="both"/>
      </w:pPr>
      <w:r>
        <w:rPr>
          <w:color w:val="231F20"/>
        </w:rPr>
        <w:t>ADLs should be indicated in the “Costs” section of the </w:t>
      </w:r>
      <w:r>
        <w:rPr>
          <w:color w:val="231F20"/>
          <w:spacing w:val="-3"/>
        </w:rPr>
        <w:t>Key </w:t>
      </w:r>
      <w:r>
        <w:rPr>
          <w:color w:val="231F20"/>
        </w:rPr>
        <w:t>Investor Information Document</w:t>
      </w:r>
      <w:r>
        <w:rPr>
          <w:color w:val="231F20"/>
          <w:spacing w:val="-25"/>
        </w:rPr>
        <w:t> </w:t>
      </w:r>
      <w:r>
        <w:rPr>
          <w:color w:val="231F20"/>
        </w:rPr>
        <w:t>(KIID).</w:t>
      </w:r>
    </w:p>
    <w:p>
      <w:pPr>
        <w:pStyle w:val="BodyText"/>
        <w:rPr>
          <w:sz w:val="22"/>
        </w:rPr>
      </w:pPr>
    </w:p>
    <w:p>
      <w:pPr>
        <w:pStyle w:val="BodyText"/>
        <w:spacing w:before="1"/>
        <w:rPr>
          <w:sz w:val="17"/>
        </w:rPr>
      </w:pPr>
    </w:p>
    <w:p>
      <w:pPr>
        <w:pStyle w:val="Heading3"/>
        <w:numPr>
          <w:ilvl w:val="2"/>
          <w:numId w:val="3"/>
        </w:numPr>
        <w:tabs>
          <w:tab w:pos="1503" w:val="left" w:leader="none"/>
        </w:tabs>
        <w:spacing w:line="240" w:lineRule="auto" w:before="0" w:after="0"/>
        <w:ind w:left="1502" w:right="0" w:hanging="568"/>
        <w:jc w:val="left"/>
      </w:pPr>
      <w:r>
        <w:rPr>
          <w:color w:val="CB4D2C"/>
        </w:rPr>
        <w:t>Transition for existing</w:t>
      </w:r>
      <w:r>
        <w:rPr>
          <w:color w:val="CB4D2C"/>
          <w:spacing w:val="14"/>
        </w:rPr>
        <w:t> </w:t>
      </w:r>
      <w:r>
        <w:rPr>
          <w:color w:val="CB4D2C"/>
        </w:rPr>
        <w:t>funds</w:t>
      </w:r>
    </w:p>
    <w:p>
      <w:pPr>
        <w:pStyle w:val="BodyText"/>
        <w:spacing w:line="268" w:lineRule="auto" w:before="141"/>
        <w:ind w:left="935"/>
        <w:jc w:val="both"/>
      </w:pPr>
      <w:r>
        <w:rPr>
          <w:color w:val="231F20"/>
        </w:rPr>
        <w:t>The introduction by a fund of Swing Pricing is considered equivalent to a refining of that </w:t>
      </w:r>
      <w:r>
        <w:rPr>
          <w:color w:val="231F20"/>
          <w:spacing w:val="-3"/>
        </w:rPr>
        <w:t>fund’s </w:t>
      </w:r>
      <w:r>
        <w:rPr>
          <w:color w:val="231F20"/>
        </w:rPr>
        <w:t>valuation</w:t>
      </w:r>
      <w:r>
        <w:rPr>
          <w:color w:val="231F20"/>
          <w:spacing w:val="-7"/>
        </w:rPr>
        <w:t> </w:t>
      </w:r>
      <w:r>
        <w:rPr>
          <w:color w:val="231F20"/>
        </w:rPr>
        <w:t>and</w:t>
      </w:r>
      <w:r>
        <w:rPr>
          <w:color w:val="231F20"/>
          <w:spacing w:val="-6"/>
        </w:rPr>
        <w:t> </w:t>
      </w:r>
      <w:r>
        <w:rPr>
          <w:color w:val="231F20"/>
        </w:rPr>
        <w:t>accounting</w:t>
      </w:r>
      <w:r>
        <w:rPr>
          <w:color w:val="231F20"/>
          <w:spacing w:val="-7"/>
        </w:rPr>
        <w:t> </w:t>
      </w:r>
      <w:r>
        <w:rPr>
          <w:color w:val="231F20"/>
        </w:rPr>
        <w:t>rules</w:t>
      </w:r>
      <w:r>
        <w:rPr>
          <w:color w:val="231F20"/>
          <w:spacing w:val="-6"/>
        </w:rPr>
        <w:t> </w:t>
      </w:r>
      <w:r>
        <w:rPr>
          <w:color w:val="231F20"/>
        </w:rPr>
        <w:t>for</w:t>
      </w:r>
      <w:r>
        <w:rPr>
          <w:color w:val="231F20"/>
          <w:spacing w:val="-6"/>
        </w:rPr>
        <w:t> </w:t>
      </w:r>
      <w:r>
        <w:rPr>
          <w:color w:val="231F20"/>
        </w:rPr>
        <w:t>assets;</w:t>
      </w:r>
      <w:r>
        <w:rPr>
          <w:color w:val="231F20"/>
          <w:spacing w:val="-7"/>
        </w:rPr>
        <w:t> </w:t>
      </w:r>
      <w:r>
        <w:rPr>
          <w:color w:val="231F20"/>
        </w:rPr>
        <w:t>as</w:t>
      </w:r>
      <w:r>
        <w:rPr>
          <w:color w:val="231F20"/>
          <w:spacing w:val="-6"/>
        </w:rPr>
        <w:t> </w:t>
      </w:r>
      <w:r>
        <w:rPr>
          <w:color w:val="231F20"/>
        </w:rPr>
        <w:t>such, investors are informed by all means. This piece  of information will be reported in the </w:t>
      </w:r>
      <w:r>
        <w:rPr>
          <w:color w:val="231F20"/>
          <w:spacing w:val="-3"/>
        </w:rPr>
        <w:t>fund’s </w:t>
      </w:r>
      <w:r>
        <w:rPr>
          <w:color w:val="231F20"/>
        </w:rPr>
        <w:t>next reporting.</w:t>
      </w:r>
    </w:p>
    <w:p>
      <w:pPr>
        <w:pStyle w:val="BodyText"/>
        <w:spacing w:line="268" w:lineRule="auto" w:before="113"/>
        <w:ind w:left="935" w:right="4"/>
        <w:jc w:val="both"/>
      </w:pPr>
      <w:r>
        <w:rPr>
          <w:color w:val="231F20"/>
        </w:rPr>
        <w:t>Investors must be given individual notification when ADLs are introduced for a fund, and must be given the option to redeem their investment free of</w:t>
      </w:r>
      <w:r>
        <w:rPr>
          <w:color w:val="231F20"/>
          <w:spacing w:val="-1"/>
        </w:rPr>
        <w:t> </w:t>
      </w:r>
      <w:r>
        <w:rPr>
          <w:color w:val="231F20"/>
        </w:rPr>
        <w:t>charge.</w:t>
      </w:r>
    </w:p>
    <w:p>
      <w:pPr>
        <w:spacing w:line="204" w:lineRule="exact" w:before="77"/>
        <w:ind w:left="0" w:right="188" w:firstLine="0"/>
        <w:jc w:val="right"/>
        <w:rPr>
          <w:rFonts w:ascii="Arial"/>
          <w:sz w:val="20"/>
        </w:rPr>
      </w:pPr>
      <w:r>
        <w:rPr/>
        <w:br w:type="column"/>
      </w:r>
      <w:r>
        <w:rPr>
          <w:rFonts w:ascii="Times New Roman"/>
          <w:color w:val="FFFFFF"/>
          <w:sz w:val="20"/>
          <w:shd w:fill="CB4D2C" w:color="auto" w:val="clear"/>
        </w:rPr>
        <w:t>  </w:t>
      </w:r>
      <w:r>
        <w:rPr>
          <w:rFonts w:ascii="Arial"/>
          <w:color w:val="FFFFFF"/>
          <w:sz w:val="20"/>
          <w:shd w:fill="CB4D2C" w:color="auto" w:val="clear"/>
        </w:rPr>
        <w:t>5</w:t>
      </w:r>
    </w:p>
    <w:p>
      <w:pPr>
        <w:pStyle w:val="Heading1"/>
        <w:numPr>
          <w:ilvl w:val="0"/>
          <w:numId w:val="2"/>
        </w:numPr>
        <w:tabs>
          <w:tab w:pos="908" w:val="left" w:leader="none"/>
        </w:tabs>
        <w:spacing w:line="342" w:lineRule="exact" w:before="0" w:after="0"/>
        <w:ind w:left="907" w:right="0" w:hanging="354"/>
        <w:jc w:val="left"/>
      </w:pPr>
      <w:r>
        <w:rPr/>
        <w:pict>
          <v:line style="position:absolute;mso-position-horizontal-relative:page;mso-position-vertical-relative:paragraph;z-index:15757824" from="307.991486pt,.041955pt" to="307.991486pt,56.734955pt" stroked="true" strokeweight="2pt" strokecolor="#cb4d2c">
            <v:stroke dashstyle="solid"/>
            <w10:wrap type="none"/>
          </v:line>
        </w:pict>
      </w:r>
      <w:r>
        <w:rPr/>
        <w:pict>
          <v:shape style="position:absolute;margin-left:559.997437pt;margin-top:7.468011pt;width:9.8pt;height:84.7pt;mso-position-horizontal-relative:page;mso-position-vertical-relative:paragraph;z-index:15758336" type="#_x0000_t202" filled="false" stroked="false">
            <v:textbox inset="0,0,0,0" style="layout-flow:vertical;mso-layout-flow-alt:bottom-to-top">
              <w:txbxContent>
                <w:p>
                  <w:pPr>
                    <w:spacing w:before="13"/>
                    <w:ind w:left="20" w:right="0" w:firstLine="0"/>
                    <w:jc w:val="left"/>
                    <w:rPr>
                      <w:rFonts w:ascii="Arial" w:hAnsi="Arial"/>
                      <w:sz w:val="14"/>
                    </w:rPr>
                  </w:pPr>
                  <w:r>
                    <w:rPr>
                      <w:rFonts w:ascii="Arial" w:hAnsi="Arial"/>
                      <w:color w:val="CB4D2C"/>
                      <w:w w:val="105"/>
                      <w:sz w:val="14"/>
                    </w:rPr>
                    <w:t>AFG – NOVEMBER</w:t>
                  </w:r>
                  <w:r>
                    <w:rPr>
                      <w:rFonts w:ascii="Arial" w:hAnsi="Arial"/>
                      <w:color w:val="CB4D2C"/>
                      <w:spacing w:val="-24"/>
                      <w:w w:val="105"/>
                      <w:sz w:val="14"/>
                    </w:rPr>
                    <w:t> </w:t>
                  </w:r>
                  <w:r>
                    <w:rPr>
                      <w:rFonts w:ascii="Arial" w:hAnsi="Arial"/>
                      <w:color w:val="CB4D2C"/>
                      <w:w w:val="105"/>
                      <w:sz w:val="14"/>
                    </w:rPr>
                    <w:t>2020</w:t>
                  </w:r>
                </w:p>
              </w:txbxContent>
            </v:textbox>
            <w10:wrap type="none"/>
          </v:shape>
        </w:pict>
      </w:r>
      <w:r>
        <w:rPr>
          <w:color w:val="CB4D2C"/>
        </w:rPr>
        <w:t>SPECIAL</w:t>
      </w:r>
      <w:r>
        <w:rPr>
          <w:color w:val="CB4D2C"/>
          <w:spacing w:val="-31"/>
        </w:rPr>
        <w:t> </w:t>
      </w:r>
      <w:r>
        <w:rPr>
          <w:color w:val="CB4D2C"/>
        </w:rPr>
        <w:t>PROVISIONS</w:t>
      </w:r>
    </w:p>
    <w:p>
      <w:pPr>
        <w:spacing w:line="261" w:lineRule="auto" w:before="32"/>
        <w:ind w:left="907" w:right="2303" w:firstLine="0"/>
        <w:jc w:val="left"/>
        <w:rPr>
          <w:rFonts w:ascii="Arial"/>
          <w:sz w:val="32"/>
        </w:rPr>
      </w:pPr>
      <w:r>
        <w:rPr>
          <w:rFonts w:ascii="Arial"/>
          <w:color w:val="CB4D2C"/>
          <w:sz w:val="32"/>
        </w:rPr>
        <w:t>GOVERNING SWING PRICING</w:t>
      </w:r>
    </w:p>
    <w:p>
      <w:pPr>
        <w:pStyle w:val="BodyText"/>
        <w:rPr>
          <w:rFonts w:ascii="Arial"/>
        </w:rPr>
      </w:pPr>
    </w:p>
    <w:p>
      <w:pPr>
        <w:pStyle w:val="BodyText"/>
        <w:spacing w:before="4"/>
        <w:rPr>
          <w:rFonts w:ascii="Arial"/>
          <w:sz w:val="11"/>
        </w:rPr>
      </w:pPr>
      <w:r>
        <w:rPr/>
        <w:pict>
          <v:shape style="position:absolute;margin-left:306.991486pt;margin-top:8.645798pt;width:224.55pt;height:.1pt;mso-position-horizontal-relative:page;mso-position-vertical-relative:paragraph;z-index:-15701504;mso-wrap-distance-left:0;mso-wrap-distance-right:0" coordorigin="6140,173" coordsize="4491,0" path="m6140,173l10630,173e" filled="false" stroked="true" strokeweight=".25pt" strokecolor="#cb4d2c">
            <v:path arrowok="t"/>
            <v:stroke dashstyle="solid"/>
            <w10:wrap type="topAndBottom"/>
          </v:shape>
        </w:pict>
      </w:r>
    </w:p>
    <w:p>
      <w:pPr>
        <w:pStyle w:val="Heading2"/>
        <w:numPr>
          <w:ilvl w:val="1"/>
          <w:numId w:val="5"/>
        </w:numPr>
        <w:tabs>
          <w:tab w:pos="691" w:val="left" w:leader="none"/>
        </w:tabs>
        <w:spacing w:line="242" w:lineRule="auto" w:before="29" w:after="0"/>
        <w:ind w:left="690" w:right="2462" w:hanging="364"/>
        <w:jc w:val="left"/>
        <w:rPr>
          <w:rFonts w:ascii="Arial"/>
        </w:rPr>
      </w:pPr>
      <w:bookmarkStart w:name="_TOC_250002" w:id="7"/>
      <w:r>
        <w:rPr>
          <w:rFonts w:ascii="Arial"/>
          <w:color w:val="CB4D2C"/>
          <w:w w:val="110"/>
        </w:rPr>
        <w:t>Use of net asset</w:t>
      </w:r>
      <w:r>
        <w:rPr>
          <w:rFonts w:ascii="Arial"/>
          <w:color w:val="CB4D2C"/>
          <w:spacing w:val="-41"/>
          <w:w w:val="110"/>
        </w:rPr>
        <w:t> </w:t>
      </w:r>
      <w:r>
        <w:rPr>
          <w:rFonts w:ascii="Arial"/>
          <w:color w:val="CB4D2C"/>
          <w:w w:val="110"/>
        </w:rPr>
        <w:t>value and</w:t>
      </w:r>
      <w:r>
        <w:rPr>
          <w:rFonts w:ascii="Arial"/>
          <w:color w:val="CB4D2C"/>
          <w:spacing w:val="-5"/>
          <w:w w:val="110"/>
        </w:rPr>
        <w:t> </w:t>
      </w:r>
      <w:bookmarkEnd w:id="7"/>
      <w:r>
        <w:rPr>
          <w:rFonts w:ascii="Arial"/>
          <w:color w:val="CB4D2C"/>
          <w:w w:val="110"/>
        </w:rPr>
        <w:t>disclosure</w:t>
      </w:r>
    </w:p>
    <w:p>
      <w:pPr>
        <w:pStyle w:val="BodyText"/>
        <w:spacing w:before="2"/>
        <w:rPr>
          <w:rFonts w:ascii="Arial"/>
          <w:sz w:val="5"/>
        </w:rPr>
      </w:pPr>
    </w:p>
    <w:p>
      <w:pPr>
        <w:pStyle w:val="BodyText"/>
        <w:spacing w:line="20" w:lineRule="exact"/>
        <w:ind w:left="324"/>
        <w:rPr>
          <w:rFonts w:ascii="Arial"/>
          <w:sz w:val="2"/>
        </w:rPr>
      </w:pPr>
      <w:r>
        <w:rPr>
          <w:rFonts w:ascii="Arial"/>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rFonts w:ascii="Arial"/>
          <w:sz w:val="2"/>
        </w:rPr>
      </w:r>
    </w:p>
    <w:p>
      <w:pPr>
        <w:pStyle w:val="BodyText"/>
        <w:spacing w:line="268" w:lineRule="auto" w:before="223"/>
        <w:ind w:left="327" w:right="916"/>
        <w:jc w:val="both"/>
      </w:pPr>
      <w:r>
        <w:rPr>
          <w:color w:val="231F20"/>
        </w:rPr>
        <w:t>The </w:t>
      </w:r>
      <w:r>
        <w:rPr>
          <w:color w:val="231F20"/>
          <w:spacing w:val="-3"/>
        </w:rPr>
        <w:t>“swung” </w:t>
      </w:r>
      <w:r>
        <w:rPr>
          <w:color w:val="231F20"/>
        </w:rPr>
        <w:t>net </w:t>
      </w:r>
      <w:r>
        <w:rPr>
          <w:color w:val="231F20"/>
          <w:spacing w:val="-3"/>
        </w:rPr>
        <w:t>asset </w:t>
      </w:r>
      <w:r>
        <w:rPr>
          <w:color w:val="231F20"/>
        </w:rPr>
        <w:t>value per share shall </w:t>
      </w:r>
      <w:r>
        <w:rPr>
          <w:color w:val="231F20"/>
          <w:spacing w:val="-3"/>
        </w:rPr>
        <w:t>be </w:t>
      </w:r>
      <w:r>
        <w:rPr>
          <w:color w:val="231F20"/>
        </w:rPr>
        <w:t>the </w:t>
      </w:r>
      <w:r>
        <w:rPr>
          <w:color w:val="231F20"/>
          <w:spacing w:val="-4"/>
        </w:rPr>
        <w:t>fund’s </w:t>
      </w:r>
      <w:r>
        <w:rPr>
          <w:color w:val="231F20"/>
        </w:rPr>
        <w:t>only net </w:t>
      </w:r>
      <w:r>
        <w:rPr>
          <w:color w:val="231F20"/>
          <w:spacing w:val="-3"/>
        </w:rPr>
        <w:t>asset  </w:t>
      </w:r>
      <w:r>
        <w:rPr>
          <w:color w:val="231F20"/>
        </w:rPr>
        <w:t>value.  It  </w:t>
      </w:r>
      <w:r>
        <w:rPr>
          <w:color w:val="231F20"/>
          <w:spacing w:val="-3"/>
        </w:rPr>
        <w:t>alone  </w:t>
      </w:r>
      <w:r>
        <w:rPr>
          <w:color w:val="231F20"/>
        </w:rPr>
        <w:t>shall be </w:t>
      </w:r>
      <w:r>
        <w:rPr>
          <w:color w:val="231F20"/>
          <w:spacing w:val="-3"/>
        </w:rPr>
        <w:t>disclosed </w:t>
      </w:r>
      <w:r>
        <w:rPr>
          <w:color w:val="231F20"/>
        </w:rPr>
        <w:t>to</w:t>
      </w:r>
      <w:r>
        <w:rPr>
          <w:color w:val="231F20"/>
          <w:spacing w:val="-13"/>
        </w:rPr>
        <w:t> </w:t>
      </w:r>
      <w:r>
        <w:rPr>
          <w:color w:val="231F20"/>
          <w:spacing w:val="-3"/>
        </w:rPr>
        <w:t>investors.</w:t>
      </w:r>
    </w:p>
    <w:p>
      <w:pPr>
        <w:pStyle w:val="BodyText"/>
        <w:spacing w:line="268" w:lineRule="auto" w:before="113"/>
        <w:ind w:left="327" w:right="911"/>
        <w:jc w:val="both"/>
      </w:pPr>
      <w:r>
        <w:rPr>
          <w:color w:val="231F20"/>
        </w:rPr>
        <w:t>The management company shall  thus  publish,  in its regulatory documentation, performance and risk indicators calculated on the basis of the “swung” net asset value per share. In particular, the Synthetic Risk and Reward Indicator (SRRI) shall be calculated on this</w:t>
      </w:r>
      <w:r>
        <w:rPr>
          <w:color w:val="231F20"/>
          <w:spacing w:val="22"/>
        </w:rPr>
        <w:t> </w:t>
      </w:r>
      <w:r>
        <w:rPr>
          <w:color w:val="231F20"/>
        </w:rPr>
        <w:t>basis.</w:t>
      </w:r>
    </w:p>
    <w:p>
      <w:pPr>
        <w:pStyle w:val="BodyText"/>
        <w:spacing w:line="268" w:lineRule="auto" w:before="113"/>
        <w:ind w:left="327" w:right="909"/>
        <w:jc w:val="both"/>
      </w:pPr>
      <w:r>
        <w:rPr>
          <w:color w:val="231F20"/>
        </w:rPr>
        <w:t>However, by </w:t>
      </w:r>
      <w:r>
        <w:rPr>
          <w:color w:val="231F20"/>
          <w:spacing w:val="2"/>
        </w:rPr>
        <w:t>exception, performance </w:t>
      </w:r>
      <w:r>
        <w:rPr>
          <w:color w:val="231F20"/>
          <w:spacing w:val="3"/>
        </w:rPr>
        <w:t>fees are </w:t>
      </w:r>
      <w:r>
        <w:rPr>
          <w:color w:val="231F20"/>
          <w:spacing w:val="2"/>
        </w:rPr>
        <w:t>calculated before </w:t>
      </w:r>
      <w:r>
        <w:rPr>
          <w:color w:val="231F20"/>
          <w:spacing w:val="3"/>
        </w:rPr>
        <w:t>Swing </w:t>
      </w:r>
      <w:r>
        <w:rPr>
          <w:color w:val="231F20"/>
        </w:rPr>
        <w:t>Pricing is </w:t>
      </w:r>
      <w:r>
        <w:rPr>
          <w:color w:val="231F20"/>
          <w:spacing w:val="2"/>
        </w:rPr>
        <w:t>applied </w:t>
      </w:r>
      <w:r>
        <w:rPr>
          <w:color w:val="231F20"/>
          <w:spacing w:val="4"/>
        </w:rPr>
        <w:t>so </w:t>
      </w:r>
      <w:r>
        <w:rPr>
          <w:color w:val="231F20"/>
          <w:spacing w:val="2"/>
        </w:rPr>
        <w:t>that </w:t>
      </w:r>
      <w:r>
        <w:rPr>
          <w:color w:val="231F20"/>
        </w:rPr>
        <w:t>the </w:t>
      </w:r>
      <w:r>
        <w:rPr>
          <w:color w:val="231F20"/>
          <w:spacing w:val="3"/>
        </w:rPr>
        <w:t>fund </w:t>
      </w:r>
      <w:r>
        <w:rPr>
          <w:color w:val="231F20"/>
        </w:rPr>
        <w:t>is not </w:t>
      </w:r>
      <w:r>
        <w:rPr>
          <w:color w:val="231F20"/>
          <w:spacing w:val="3"/>
        </w:rPr>
        <w:t>rewarded </w:t>
      </w:r>
      <w:r>
        <w:rPr>
          <w:color w:val="231F20"/>
          <w:spacing w:val="2"/>
        </w:rPr>
        <w:t>for </w:t>
      </w:r>
      <w:r>
        <w:rPr>
          <w:color w:val="231F20"/>
          <w:spacing w:val="3"/>
        </w:rPr>
        <w:t>performance </w:t>
      </w:r>
      <w:r>
        <w:rPr>
          <w:color w:val="231F20"/>
        </w:rPr>
        <w:t>not </w:t>
      </w:r>
      <w:r>
        <w:rPr>
          <w:color w:val="231F20"/>
          <w:spacing w:val="3"/>
        </w:rPr>
        <w:t>linked </w:t>
      </w:r>
      <w:r>
        <w:rPr>
          <w:color w:val="231F20"/>
        </w:rPr>
        <w:t>to the </w:t>
      </w:r>
      <w:r>
        <w:rPr>
          <w:color w:val="231F20"/>
          <w:spacing w:val="2"/>
        </w:rPr>
        <w:t>investment </w:t>
      </w:r>
      <w:r>
        <w:rPr>
          <w:color w:val="231F20"/>
          <w:spacing w:val="3"/>
        </w:rPr>
        <w:t>strategies applied </w:t>
      </w:r>
      <w:r>
        <w:rPr>
          <w:color w:val="231F20"/>
          <w:spacing w:val="2"/>
        </w:rPr>
        <w:t>(furthermore, </w:t>
      </w:r>
      <w:r>
        <w:rPr>
          <w:color w:val="231F20"/>
        </w:rPr>
        <w:t>the </w:t>
      </w:r>
      <w:r>
        <w:rPr>
          <w:color w:val="231F20"/>
          <w:spacing w:val="2"/>
        </w:rPr>
        <w:t>application </w:t>
      </w:r>
      <w:r>
        <w:rPr>
          <w:color w:val="231F20"/>
        </w:rPr>
        <w:t>of </w:t>
      </w:r>
      <w:r>
        <w:rPr>
          <w:color w:val="231F20"/>
          <w:spacing w:val="3"/>
        </w:rPr>
        <w:t>performance fees </w:t>
      </w:r>
      <w:r>
        <w:rPr>
          <w:color w:val="231F20"/>
        </w:rPr>
        <w:t>to a </w:t>
      </w:r>
      <w:r>
        <w:rPr>
          <w:color w:val="231F20"/>
          <w:spacing w:val="2"/>
        </w:rPr>
        <w:t>“swung” </w:t>
      </w:r>
      <w:r>
        <w:rPr>
          <w:color w:val="231F20"/>
        </w:rPr>
        <w:t>net </w:t>
      </w:r>
      <w:r>
        <w:rPr>
          <w:color w:val="231F20"/>
          <w:spacing w:val="2"/>
        </w:rPr>
        <w:t>asset </w:t>
      </w:r>
      <w:r>
        <w:rPr>
          <w:color w:val="231F20"/>
          <w:spacing w:val="3"/>
        </w:rPr>
        <w:t>value </w:t>
      </w:r>
      <w:r>
        <w:rPr>
          <w:color w:val="231F20"/>
        </w:rPr>
        <w:t>per </w:t>
      </w:r>
      <w:r>
        <w:rPr>
          <w:color w:val="231F20"/>
          <w:spacing w:val="4"/>
        </w:rPr>
        <w:t>share </w:t>
      </w:r>
      <w:r>
        <w:rPr>
          <w:color w:val="231F20"/>
          <w:spacing w:val="2"/>
        </w:rPr>
        <w:t>would </w:t>
      </w:r>
      <w:r>
        <w:rPr>
          <w:color w:val="231F20"/>
          <w:spacing w:val="3"/>
        </w:rPr>
        <w:t>reduce </w:t>
      </w:r>
      <w:r>
        <w:rPr>
          <w:color w:val="231F20"/>
        </w:rPr>
        <w:t>the </w:t>
      </w:r>
      <w:r>
        <w:rPr>
          <w:color w:val="231F20"/>
          <w:spacing w:val="2"/>
        </w:rPr>
        <w:t>effect </w:t>
      </w:r>
      <w:r>
        <w:rPr>
          <w:color w:val="231F20"/>
        </w:rPr>
        <w:t>of </w:t>
      </w:r>
      <w:r>
        <w:rPr>
          <w:color w:val="231F20"/>
          <w:spacing w:val="3"/>
        </w:rPr>
        <w:t>Swing </w:t>
      </w:r>
      <w:r>
        <w:rPr>
          <w:color w:val="231F20"/>
        </w:rPr>
        <w:t>Pricing </w:t>
      </w:r>
      <w:r>
        <w:rPr>
          <w:color w:val="231F20"/>
          <w:spacing w:val="3"/>
        </w:rPr>
        <w:t>in </w:t>
      </w:r>
      <w:r>
        <w:rPr>
          <w:color w:val="231F20"/>
          <w:spacing w:val="2"/>
        </w:rPr>
        <w:t>proportion </w:t>
      </w:r>
      <w:r>
        <w:rPr>
          <w:color w:val="231F20"/>
        </w:rPr>
        <w:t>to the </w:t>
      </w:r>
      <w:r>
        <w:rPr>
          <w:color w:val="231F20"/>
          <w:spacing w:val="2"/>
        </w:rPr>
        <w:t>performance allocation </w:t>
      </w:r>
      <w:r>
        <w:rPr>
          <w:color w:val="231F20"/>
          <w:spacing w:val="4"/>
        </w:rPr>
        <w:t>ratio, </w:t>
      </w:r>
      <w:r>
        <w:rPr>
          <w:color w:val="231F20"/>
          <w:spacing w:val="2"/>
        </w:rPr>
        <w:t>thus  </w:t>
      </w:r>
      <w:r>
        <w:rPr>
          <w:color w:val="231F20"/>
          <w:spacing w:val="3"/>
        </w:rPr>
        <w:t>reducing  </w:t>
      </w:r>
      <w:r>
        <w:rPr>
          <w:color w:val="231F20"/>
        </w:rPr>
        <w:t>the  </w:t>
      </w:r>
      <w:r>
        <w:rPr>
          <w:color w:val="231F20"/>
          <w:spacing w:val="2"/>
        </w:rPr>
        <w:t>effects  </w:t>
      </w:r>
      <w:r>
        <w:rPr>
          <w:color w:val="231F20"/>
        </w:rPr>
        <w:t>of  </w:t>
      </w:r>
      <w:r>
        <w:rPr>
          <w:color w:val="231F20"/>
          <w:spacing w:val="3"/>
        </w:rPr>
        <w:t>Swing  </w:t>
      </w:r>
      <w:r>
        <w:rPr>
          <w:color w:val="231F20"/>
          <w:spacing w:val="2"/>
        </w:rPr>
        <w:t>Pricing   </w:t>
      </w:r>
      <w:r>
        <w:rPr>
          <w:color w:val="231F20"/>
        </w:rPr>
        <w:t>in </w:t>
      </w:r>
      <w:r>
        <w:rPr>
          <w:color w:val="231F20"/>
          <w:spacing w:val="2"/>
        </w:rPr>
        <w:t>terms </w:t>
      </w:r>
      <w:r>
        <w:rPr>
          <w:color w:val="231F20"/>
        </w:rPr>
        <w:t>of </w:t>
      </w:r>
      <w:r>
        <w:rPr>
          <w:color w:val="231F20"/>
          <w:spacing w:val="3"/>
        </w:rPr>
        <w:t>fair </w:t>
      </w:r>
      <w:r>
        <w:rPr>
          <w:color w:val="231F20"/>
          <w:spacing w:val="2"/>
        </w:rPr>
        <w:t>treatment </w:t>
      </w:r>
      <w:r>
        <w:rPr>
          <w:color w:val="231F20"/>
        </w:rPr>
        <w:t>of </w:t>
      </w:r>
      <w:r>
        <w:rPr>
          <w:color w:val="231F20"/>
          <w:spacing w:val="2"/>
        </w:rPr>
        <w:t>investors). </w:t>
      </w:r>
      <w:r>
        <w:rPr>
          <w:color w:val="231F20"/>
        </w:rPr>
        <w:t>Total </w:t>
      </w:r>
      <w:r>
        <w:rPr>
          <w:color w:val="231F20"/>
          <w:spacing w:val="2"/>
        </w:rPr>
        <w:t>performance paid </w:t>
      </w:r>
      <w:r>
        <w:rPr>
          <w:color w:val="231F20"/>
        </w:rPr>
        <w:t>to </w:t>
      </w:r>
      <w:r>
        <w:rPr>
          <w:color w:val="231F20"/>
          <w:spacing w:val="2"/>
        </w:rPr>
        <w:t>investors thus </w:t>
      </w:r>
      <w:r>
        <w:rPr>
          <w:color w:val="231F20"/>
          <w:spacing w:val="3"/>
        </w:rPr>
        <w:t>includes  </w:t>
      </w:r>
      <w:r>
        <w:rPr>
          <w:color w:val="231F20"/>
          <w:spacing w:val="2"/>
        </w:rPr>
        <w:t>both </w:t>
      </w:r>
      <w:r>
        <w:rPr>
          <w:color w:val="231F20"/>
        </w:rPr>
        <w:t>the </w:t>
      </w:r>
      <w:r>
        <w:rPr>
          <w:color w:val="231F20"/>
          <w:spacing w:val="2"/>
        </w:rPr>
        <w:t>effects </w:t>
      </w:r>
      <w:r>
        <w:rPr>
          <w:color w:val="231F20"/>
        </w:rPr>
        <w:t>of </w:t>
      </w:r>
      <w:r>
        <w:rPr>
          <w:color w:val="231F20"/>
          <w:spacing w:val="3"/>
        </w:rPr>
        <w:t>Swing </w:t>
      </w:r>
      <w:r>
        <w:rPr>
          <w:color w:val="231F20"/>
        </w:rPr>
        <w:t>Pricing and any </w:t>
      </w:r>
      <w:r>
        <w:rPr>
          <w:color w:val="231F20"/>
          <w:spacing w:val="3"/>
        </w:rPr>
        <w:t>varia- </w:t>
      </w:r>
      <w:r>
        <w:rPr>
          <w:color w:val="231F20"/>
        </w:rPr>
        <w:t>ble </w:t>
      </w:r>
      <w:r>
        <w:rPr>
          <w:color w:val="231F20"/>
          <w:spacing w:val="3"/>
        </w:rPr>
        <w:t>remuneration </w:t>
      </w:r>
      <w:r>
        <w:rPr>
          <w:color w:val="231F20"/>
        </w:rPr>
        <w:t>of the </w:t>
      </w:r>
      <w:r>
        <w:rPr>
          <w:color w:val="231F20"/>
          <w:spacing w:val="2"/>
        </w:rPr>
        <w:t>management </w:t>
      </w:r>
      <w:r>
        <w:rPr>
          <w:color w:val="231F20"/>
        </w:rPr>
        <w:t>company. </w:t>
      </w:r>
      <w:r>
        <w:rPr>
          <w:color w:val="231F20"/>
          <w:spacing w:val="2"/>
        </w:rPr>
        <w:t>The methodology must </w:t>
      </w:r>
      <w:r>
        <w:rPr>
          <w:color w:val="231F20"/>
        </w:rPr>
        <w:t>be </w:t>
      </w:r>
      <w:r>
        <w:rPr>
          <w:color w:val="231F20"/>
          <w:spacing w:val="2"/>
        </w:rPr>
        <w:t>duly  </w:t>
      </w:r>
      <w:r>
        <w:rPr>
          <w:color w:val="231F20"/>
          <w:spacing w:val="3"/>
        </w:rPr>
        <w:t>documented  </w:t>
      </w:r>
      <w:r>
        <w:rPr>
          <w:color w:val="231F20"/>
        </w:rPr>
        <w:t>and all </w:t>
      </w:r>
      <w:r>
        <w:rPr>
          <w:color w:val="231F20"/>
          <w:spacing w:val="2"/>
        </w:rPr>
        <w:t>calculations</w:t>
      </w:r>
      <w:r>
        <w:rPr>
          <w:color w:val="231F20"/>
          <w:spacing w:val="23"/>
        </w:rPr>
        <w:t> </w:t>
      </w:r>
      <w:r>
        <w:rPr>
          <w:color w:val="231F20"/>
          <w:spacing w:val="3"/>
        </w:rPr>
        <w:t>auditable.</w:t>
      </w:r>
    </w:p>
    <w:p>
      <w:pPr>
        <w:pStyle w:val="BodyText"/>
      </w:pPr>
    </w:p>
    <w:p>
      <w:pPr>
        <w:pStyle w:val="BodyText"/>
        <w:rPr>
          <w:sz w:val="11"/>
        </w:rPr>
      </w:pPr>
      <w:r>
        <w:rPr/>
        <w:pict>
          <v:shape style="position:absolute;margin-left:306.991486pt;margin-top:8.533983pt;width:224.55pt;height:.1pt;mso-position-horizontal-relative:page;mso-position-vertical-relative:paragraph;z-index:-15700480;mso-wrap-distance-left:0;mso-wrap-distance-right:0" coordorigin="6140,171" coordsize="4491,0" path="m6140,171l10630,171e" filled="false" stroked="true" strokeweight=".25pt" strokecolor="#cb4d2c">
            <v:path arrowok="t"/>
            <v:stroke dashstyle="solid"/>
            <w10:wrap type="topAndBottom"/>
          </v:shape>
        </w:pict>
      </w:r>
    </w:p>
    <w:p>
      <w:pPr>
        <w:pStyle w:val="Heading2"/>
        <w:numPr>
          <w:ilvl w:val="1"/>
          <w:numId w:val="5"/>
        </w:numPr>
        <w:tabs>
          <w:tab w:pos="737" w:val="left" w:leader="none"/>
        </w:tabs>
        <w:spacing w:line="240" w:lineRule="auto" w:before="29" w:after="0"/>
        <w:ind w:left="736" w:right="0" w:hanging="410"/>
        <w:jc w:val="left"/>
        <w:rPr>
          <w:rFonts w:ascii="Arial"/>
        </w:rPr>
      </w:pPr>
      <w:bookmarkStart w:name="_TOC_250001" w:id="8"/>
      <w:r>
        <w:rPr>
          <w:rFonts w:ascii="Arial"/>
          <w:color w:val="CB4D2C"/>
          <w:w w:val="110"/>
        </w:rPr>
        <w:t>Swing Pricing</w:t>
      </w:r>
      <w:r>
        <w:rPr>
          <w:rFonts w:ascii="Arial"/>
          <w:color w:val="CB4D2C"/>
          <w:spacing w:val="-6"/>
          <w:w w:val="110"/>
        </w:rPr>
        <w:t> </w:t>
      </w:r>
      <w:bookmarkEnd w:id="8"/>
      <w:r>
        <w:rPr>
          <w:rFonts w:ascii="Arial"/>
          <w:color w:val="CB4D2C"/>
          <w:w w:val="110"/>
        </w:rPr>
        <w:t>accounting</w:t>
      </w:r>
    </w:p>
    <w:p>
      <w:pPr>
        <w:pStyle w:val="BodyText"/>
        <w:spacing w:before="4"/>
        <w:rPr>
          <w:rFonts w:ascii="Arial"/>
          <w:sz w:val="5"/>
        </w:rPr>
      </w:pPr>
    </w:p>
    <w:p>
      <w:pPr>
        <w:pStyle w:val="BodyText"/>
        <w:spacing w:line="20" w:lineRule="exact"/>
        <w:ind w:left="324"/>
        <w:rPr>
          <w:rFonts w:ascii="Arial"/>
          <w:sz w:val="2"/>
        </w:rPr>
      </w:pPr>
      <w:r>
        <w:rPr>
          <w:rFonts w:ascii="Arial"/>
          <w:sz w:val="2"/>
        </w:rPr>
        <w:pict>
          <v:group style="width:224.55pt;height:.25pt;mso-position-horizontal-relative:char;mso-position-vertical-relative:line" coordorigin="0,0" coordsize="4491,5">
            <v:line style="position:absolute" from="0,2" to="4490,2" stroked="true" strokeweight=".25pt" strokecolor="#cb4d2c">
              <v:stroke dashstyle="solid"/>
            </v:line>
          </v:group>
        </w:pict>
      </w:r>
      <w:r>
        <w:rPr>
          <w:rFonts w:ascii="Arial"/>
          <w:sz w:val="2"/>
        </w:rPr>
      </w:r>
    </w:p>
    <w:p>
      <w:pPr>
        <w:pStyle w:val="BodyText"/>
        <w:spacing w:line="268" w:lineRule="auto" w:before="223"/>
        <w:ind w:left="327" w:right="911"/>
        <w:jc w:val="both"/>
      </w:pPr>
      <w:r>
        <w:rPr>
          <w:color w:val="231F20"/>
        </w:rPr>
        <w:t>In the general case where the methodology used does not allow a price to be deduced for each security in the portfolio, Swing Pricing is</w:t>
      </w:r>
      <w:r>
        <w:rPr>
          <w:color w:val="231F20"/>
          <w:spacing w:val="-29"/>
        </w:rPr>
        <w:t> </w:t>
      </w:r>
      <w:r>
        <w:rPr>
          <w:color w:val="231F20"/>
        </w:rPr>
        <w:t>obtained by applying the corresponding amount to an adjustment</w:t>
      </w:r>
      <w:r>
        <w:rPr>
          <w:color w:val="231F20"/>
          <w:spacing w:val="-2"/>
        </w:rPr>
        <w:t> </w:t>
      </w:r>
      <w:r>
        <w:rPr>
          <w:color w:val="231F20"/>
        </w:rPr>
        <w:t>account.</w:t>
      </w:r>
    </w:p>
    <w:p>
      <w:pPr>
        <w:pStyle w:val="BodyText"/>
        <w:spacing w:line="268" w:lineRule="auto" w:before="113"/>
        <w:ind w:left="327" w:right="912"/>
        <w:jc w:val="both"/>
      </w:pPr>
      <w:r>
        <w:rPr>
          <w:color w:val="231F20"/>
        </w:rPr>
        <w:t>In the specific case where the methodology used consists of determining bid prices (in the case of net redemptions) or ask prices (in the case of net subscriptions) for each security in the portfolio, Swing Pricing can be obtained by applying those prices to the valuation of each relevant holding.</w:t>
      </w:r>
    </w:p>
    <w:p>
      <w:pPr>
        <w:spacing w:after="0" w:line="268" w:lineRule="auto"/>
        <w:jc w:val="both"/>
        <w:sectPr>
          <w:pgSz w:w="11910" w:h="16840"/>
          <w:pgMar w:top="380" w:bottom="280" w:left="340" w:right="360"/>
          <w:cols w:num="2" w:equalWidth="0">
            <w:col w:w="5433" w:space="40"/>
            <w:col w:w="5737"/>
          </w:cols>
        </w:sectPr>
      </w:pPr>
    </w:p>
    <w:p>
      <w:pPr>
        <w:pStyle w:val="BodyText"/>
        <w:tabs>
          <w:tab w:pos="935" w:val="left" w:leader="none"/>
          <w:tab w:pos="10289" w:val="left" w:leader="none"/>
        </w:tabs>
        <w:spacing w:before="77"/>
        <w:ind w:left="113"/>
        <w:rPr>
          <w:rFonts w:ascii="Arial"/>
        </w:rPr>
      </w:pPr>
      <w:r>
        <w:rPr>
          <w:rFonts w:ascii="Arial"/>
          <w:color w:val="FFFFFF"/>
          <w:w w:val="96"/>
          <w:shd w:fill="CB4D2C" w:color="auto" w:val="clear"/>
        </w:rPr>
        <w:t> </w:t>
      </w:r>
      <w:r>
        <w:rPr>
          <w:rFonts w:ascii="Arial"/>
          <w:color w:val="FFFFFF"/>
          <w:spacing w:val="-24"/>
          <w:shd w:fill="CB4D2C" w:color="auto" w:val="clear"/>
        </w:rPr>
        <w:t> </w:t>
      </w:r>
      <w:r>
        <w:rPr>
          <w:rFonts w:ascii="Arial"/>
          <w:color w:val="FFFFFF"/>
          <w:shd w:fill="CB4D2C" w:color="auto" w:val="clear"/>
        </w:rPr>
        <w:t>6</w:t>
      </w:r>
      <w:r>
        <w:rPr>
          <w:rFonts w:ascii="Arial"/>
          <w:color w:val="FFFFFF"/>
        </w:rPr>
        <w:tab/>
      </w:r>
      <w:r>
        <w:rPr>
          <w:rFonts w:ascii="Arial"/>
          <w:color w:val="FFFFFF"/>
          <w:shd w:fill="CB4D2C" w:color="auto" w:val="clear"/>
        </w:rPr>
        <w:t>APPENDIX</w:t>
        <w:tab/>
      </w:r>
    </w:p>
    <w:p>
      <w:pPr>
        <w:pStyle w:val="BodyText"/>
        <w:rPr>
          <w:rFonts w:ascii="Arial"/>
        </w:rPr>
      </w:pPr>
    </w:p>
    <w:p>
      <w:pPr>
        <w:pStyle w:val="BodyText"/>
        <w:rPr>
          <w:rFonts w:ascii="Arial"/>
        </w:rPr>
      </w:pPr>
    </w:p>
    <w:p>
      <w:pPr>
        <w:pStyle w:val="Heading1"/>
        <w:spacing w:line="235" w:lineRule="auto" w:before="260"/>
        <w:ind w:left="2012" w:right="5618"/>
      </w:pPr>
      <w:r>
        <w:rPr/>
        <w:drawing>
          <wp:anchor distT="0" distB="0" distL="0" distR="0" allowOverlap="1" layoutInCell="1" locked="0" behindDoc="0" simplePos="0" relativeHeight="15762944">
            <wp:simplePos x="0" y="0"/>
            <wp:positionH relativeFrom="page">
              <wp:posOffset>827996</wp:posOffset>
            </wp:positionH>
            <wp:positionV relativeFrom="paragraph">
              <wp:posOffset>115270</wp:posOffset>
            </wp:positionV>
            <wp:extent cx="500062" cy="5080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00062" cy="508000"/>
                    </a:xfrm>
                    <a:prstGeom prst="rect">
                      <a:avLst/>
                    </a:prstGeom>
                  </pic:spPr>
                </pic:pic>
              </a:graphicData>
            </a:graphic>
          </wp:anchor>
        </w:drawing>
      </w:r>
      <w:r>
        <w:rPr/>
        <w:pict>
          <v:shape style="position:absolute;margin-left:24.816307pt;margin-top:-16.804556pt;width:9.8pt;height:84.7pt;mso-position-horizontal-relative:page;mso-position-vertical-relative:paragraph;z-index:15763968" type="#_x0000_t202" filled="false" stroked="false">
            <v:textbox inset="0,0,0,0" style="layout-flow:vertical;mso-layout-flow-alt:bottom-to-top">
              <w:txbxContent>
                <w:p>
                  <w:pPr>
                    <w:spacing w:before="13"/>
                    <w:ind w:left="20" w:right="0" w:firstLine="0"/>
                    <w:jc w:val="left"/>
                    <w:rPr>
                      <w:rFonts w:ascii="Arial" w:hAnsi="Arial"/>
                      <w:sz w:val="14"/>
                    </w:rPr>
                  </w:pPr>
                  <w:r>
                    <w:rPr>
                      <w:rFonts w:ascii="Arial" w:hAnsi="Arial"/>
                      <w:color w:val="CB4D2C"/>
                      <w:w w:val="105"/>
                      <w:sz w:val="14"/>
                    </w:rPr>
                    <w:t>AFG – NOVEMBER</w:t>
                  </w:r>
                  <w:r>
                    <w:rPr>
                      <w:rFonts w:ascii="Arial" w:hAnsi="Arial"/>
                      <w:color w:val="CB4D2C"/>
                      <w:spacing w:val="-24"/>
                      <w:w w:val="105"/>
                      <w:sz w:val="14"/>
                    </w:rPr>
                    <w:t> </w:t>
                  </w:r>
                  <w:r>
                    <w:rPr>
                      <w:rFonts w:ascii="Arial" w:hAnsi="Arial"/>
                      <w:color w:val="CB4D2C"/>
                      <w:w w:val="105"/>
                      <w:sz w:val="14"/>
                    </w:rPr>
                    <w:t>2020</w:t>
                  </w:r>
                </w:p>
              </w:txbxContent>
            </v:textbox>
            <w10:wrap type="none"/>
          </v:shape>
        </w:pict>
      </w:r>
      <w:bookmarkStart w:name="_TOC_250000" w:id="9"/>
      <w:r>
        <w:rPr>
          <w:color w:val="CB4D2C"/>
          <w:w w:val="95"/>
        </w:rPr>
        <w:t>APPENDIX 1. </w:t>
      </w:r>
      <w:bookmarkEnd w:id="9"/>
      <w:r>
        <w:rPr>
          <w:color w:val="CB4D2C"/>
        </w:rPr>
        <w:t>GLOSSARY</w:t>
      </w:r>
    </w:p>
    <w:p>
      <w:pPr>
        <w:pStyle w:val="BodyText"/>
        <w:spacing w:before="11"/>
        <w:rPr>
          <w:rFonts w:ascii="Arial"/>
          <w:sz w:val="16"/>
        </w:rPr>
      </w:pPr>
    </w:p>
    <w:p>
      <w:pPr>
        <w:spacing w:after="0"/>
        <w:rPr>
          <w:rFonts w:ascii="Arial"/>
          <w:sz w:val="16"/>
        </w:rPr>
        <w:sectPr>
          <w:pgSz w:w="11910" w:h="16840"/>
          <w:pgMar w:top="380" w:bottom="280" w:left="340" w:right="360"/>
        </w:sectPr>
      </w:pPr>
    </w:p>
    <w:p>
      <w:pPr>
        <w:pStyle w:val="BodyText"/>
        <w:spacing w:line="268" w:lineRule="auto" w:before="150"/>
        <w:ind w:left="1086"/>
        <w:jc w:val="both"/>
      </w:pPr>
      <w:r>
        <w:rPr/>
        <w:pict>
          <v:rect style="position:absolute;margin-left:63.779999pt;margin-top:11.991444pt;width:3.898pt;height:3.898pt;mso-position-horizontal-relative:page;mso-position-vertical-relative:paragraph;z-index:15759360" filled="true" fillcolor="#cb4d2c" stroked="false">
            <v:fill type="solid"/>
            <w10:wrap type="none"/>
          </v:rect>
        </w:pict>
      </w:r>
      <w:r>
        <w:rPr>
          <w:b/>
          <w:color w:val="CB4D2C"/>
        </w:rPr>
        <w:t>Swing Pricing: </w:t>
      </w:r>
      <w:r>
        <w:rPr>
          <w:color w:val="231F20"/>
        </w:rPr>
        <w:t>A mechanism by which the net asset value is adjusted upwards (or down- wards respectively) if the change in liabilities is positive (or negative) in such a way as to</w:t>
      </w:r>
      <w:r>
        <w:rPr>
          <w:color w:val="231F20"/>
          <w:spacing w:val="-39"/>
        </w:rPr>
        <w:t> </w:t>
      </w:r>
      <w:r>
        <w:rPr>
          <w:color w:val="231F20"/>
        </w:rPr>
        <w:t>reduce the cost for remaining investors in the fund of readjusting the portfolio as a result of changes in</w:t>
      </w:r>
      <w:r>
        <w:rPr>
          <w:color w:val="231F20"/>
          <w:spacing w:val="-2"/>
        </w:rPr>
        <w:t> </w:t>
      </w:r>
      <w:r>
        <w:rPr>
          <w:color w:val="231F20"/>
        </w:rPr>
        <w:t>liabilities.</w:t>
      </w:r>
    </w:p>
    <w:p>
      <w:pPr>
        <w:pStyle w:val="BodyText"/>
        <w:spacing w:line="268" w:lineRule="auto" w:before="93"/>
        <w:ind w:left="1086"/>
        <w:jc w:val="both"/>
      </w:pPr>
      <w:r>
        <w:rPr/>
        <w:pict>
          <v:rect style="position:absolute;margin-left:63.779999pt;margin-top:10.142133pt;width:3.898pt;height:3.898pt;mso-position-horizontal-relative:page;mso-position-vertical-relative:paragraph;z-index:15759872" filled="true" fillcolor="#cb4d2c" stroked="false">
            <v:fill type="solid"/>
            <w10:wrap type="none"/>
          </v:rect>
        </w:pict>
      </w:r>
      <w:r>
        <w:rPr>
          <w:b/>
          <w:color w:val="CB4D2C"/>
        </w:rPr>
        <w:t>Swing Pricing with a trigger threshold: </w:t>
      </w:r>
      <w:r>
        <w:rPr>
          <w:color w:val="231F20"/>
          <w:position w:val="-1"/>
        </w:rPr>
        <w:t>This </w:t>
      </w:r>
      <w:r>
        <w:rPr>
          <w:color w:val="231F20"/>
        </w:rPr>
        <w:t>term is preferred over the more ambiguous “partial Swing Pricing”. In the case of Swing Pricing with a trigger threshold, Swing Pricing  is applied to all assets but only if the change in net liabilities exceeds a predetermined thresh- old.</w:t>
      </w:r>
    </w:p>
    <w:p>
      <w:pPr>
        <w:pStyle w:val="BodyText"/>
        <w:spacing w:line="268" w:lineRule="auto" w:before="93"/>
        <w:ind w:left="1086"/>
        <w:jc w:val="both"/>
      </w:pPr>
      <w:r>
        <w:rPr/>
        <w:pict>
          <v:rect style="position:absolute;margin-left:63.779999pt;margin-top:10.141821pt;width:3.898pt;height:3.898pt;mso-position-horizontal-relative:page;mso-position-vertical-relative:paragraph;z-index:15760384" filled="true" fillcolor="#cb4d2c" stroked="false">
            <v:fill type="solid"/>
            <w10:wrap type="none"/>
          </v:rect>
        </w:pict>
      </w:r>
      <w:r>
        <w:rPr>
          <w:b/>
          <w:color w:val="CB4D2C"/>
          <w:spacing w:val="-6"/>
          <w:position w:val="2"/>
        </w:rPr>
        <w:t>Trigger </w:t>
      </w:r>
      <w:r>
        <w:rPr>
          <w:b/>
          <w:color w:val="CB4D2C"/>
          <w:spacing w:val="-3"/>
          <w:position w:val="2"/>
        </w:rPr>
        <w:t>threshold: </w:t>
      </w:r>
      <w:r>
        <w:rPr>
          <w:color w:val="231F20"/>
        </w:rPr>
        <w:t>In the </w:t>
      </w:r>
      <w:r>
        <w:rPr>
          <w:color w:val="231F20"/>
          <w:spacing w:val="-3"/>
        </w:rPr>
        <w:t>case </w:t>
      </w:r>
      <w:r>
        <w:rPr>
          <w:color w:val="231F20"/>
        </w:rPr>
        <w:t>of Swing </w:t>
      </w:r>
      <w:r>
        <w:rPr>
          <w:color w:val="231F20"/>
          <w:spacing w:val="-4"/>
        </w:rPr>
        <w:t>Pricing </w:t>
      </w:r>
      <w:r>
        <w:rPr>
          <w:color w:val="231F20"/>
        </w:rPr>
        <w:t>with a trigger threshold, it is the threshold above which Swing Pricing is applied. Different upward and downward thresholds may be used. Thresholds may be  expressed  as  an  amount, a number of units or a</w:t>
      </w:r>
      <w:r>
        <w:rPr>
          <w:color w:val="231F20"/>
          <w:spacing w:val="30"/>
        </w:rPr>
        <w:t> </w:t>
      </w:r>
      <w:r>
        <w:rPr>
          <w:color w:val="231F20"/>
        </w:rPr>
        <w:t>percentage of assets.</w:t>
      </w:r>
    </w:p>
    <w:p>
      <w:pPr>
        <w:pStyle w:val="BodyText"/>
        <w:spacing w:line="268" w:lineRule="auto" w:before="92"/>
        <w:ind w:left="1086" w:right="1"/>
        <w:jc w:val="both"/>
      </w:pPr>
      <w:r>
        <w:rPr/>
        <w:pict>
          <v:rect style="position:absolute;margin-left:63.779999pt;margin-top:10.091539pt;width:3.898pt;height:3.898pt;mso-position-horizontal-relative:page;mso-position-vertical-relative:paragraph;z-index:15760896" filled="true" fillcolor="#cb4d2c" stroked="false">
            <v:fill type="solid"/>
            <w10:wrap type="none"/>
          </v:rect>
        </w:pict>
      </w:r>
      <w:r>
        <w:rPr>
          <w:b/>
          <w:color w:val="CB4D2C"/>
          <w:position w:val="2"/>
        </w:rPr>
        <w:t>Swing factor: </w:t>
      </w:r>
      <w:r>
        <w:rPr>
          <w:color w:val="231F20"/>
        </w:rPr>
        <w:t>An adjustment applied to the pricing net asset value, expressed as a percent- age of net asset value prior to the application of Swing</w:t>
      </w:r>
      <w:r>
        <w:rPr>
          <w:color w:val="231F20"/>
          <w:spacing w:val="-2"/>
        </w:rPr>
        <w:t> </w:t>
      </w:r>
      <w:r>
        <w:rPr>
          <w:color w:val="231F20"/>
        </w:rPr>
        <w:t>Pricing.</w:t>
      </w:r>
    </w:p>
    <w:p>
      <w:pPr>
        <w:pStyle w:val="BodyText"/>
        <w:spacing w:line="271" w:lineRule="auto" w:before="100"/>
        <w:ind w:left="484" w:right="912"/>
        <w:jc w:val="both"/>
      </w:pPr>
      <w:r>
        <w:rPr/>
        <w:br w:type="column"/>
      </w:r>
      <w:r>
        <w:rPr>
          <w:b/>
          <w:color w:val="CB4D2C"/>
        </w:rPr>
        <w:t>Anti  dilution   levies   accruing   to   funds:   </w:t>
      </w:r>
      <w:r>
        <w:rPr>
          <w:color w:val="231F20"/>
        </w:rPr>
        <w:t>A mechanism by which entry and exit charg-   es are adjusted upwards (or  downwards)  if  the change in liabilities is positive (or negative) in</w:t>
      </w:r>
      <w:r>
        <w:rPr>
          <w:color w:val="231F20"/>
          <w:spacing w:val="-10"/>
        </w:rPr>
        <w:t> </w:t>
      </w:r>
      <w:r>
        <w:rPr>
          <w:color w:val="231F20"/>
        </w:rPr>
        <w:t>such</w:t>
      </w:r>
      <w:r>
        <w:rPr>
          <w:color w:val="231F20"/>
          <w:spacing w:val="-10"/>
        </w:rPr>
        <w:t> </w:t>
      </w:r>
      <w:r>
        <w:rPr>
          <w:color w:val="231F20"/>
        </w:rPr>
        <w:t>a</w:t>
      </w:r>
      <w:r>
        <w:rPr>
          <w:color w:val="231F20"/>
          <w:spacing w:val="-10"/>
        </w:rPr>
        <w:t> </w:t>
      </w:r>
      <w:r>
        <w:rPr>
          <w:color w:val="231F20"/>
        </w:rPr>
        <w:t>way</w:t>
      </w:r>
      <w:r>
        <w:rPr>
          <w:color w:val="231F20"/>
          <w:spacing w:val="-10"/>
        </w:rPr>
        <w:t> </w:t>
      </w:r>
      <w:r>
        <w:rPr>
          <w:color w:val="231F20"/>
        </w:rPr>
        <w:t>as</w:t>
      </w:r>
      <w:r>
        <w:rPr>
          <w:color w:val="231F20"/>
          <w:spacing w:val="-11"/>
        </w:rPr>
        <w:t> </w:t>
      </w:r>
      <w:r>
        <w:rPr>
          <w:color w:val="231F20"/>
        </w:rPr>
        <w:t>to</w:t>
      </w:r>
      <w:r>
        <w:rPr>
          <w:color w:val="231F20"/>
          <w:spacing w:val="-11"/>
        </w:rPr>
        <w:t> </w:t>
      </w:r>
      <w:r>
        <w:rPr>
          <w:color w:val="231F20"/>
        </w:rPr>
        <w:t>reduce</w:t>
      </w:r>
      <w:r>
        <w:rPr>
          <w:color w:val="231F20"/>
          <w:spacing w:val="-10"/>
        </w:rPr>
        <w:t> </w:t>
      </w:r>
      <w:r>
        <w:rPr>
          <w:color w:val="231F20"/>
        </w:rPr>
        <w:t>the</w:t>
      </w:r>
      <w:r>
        <w:rPr>
          <w:color w:val="231F20"/>
          <w:spacing w:val="-10"/>
        </w:rPr>
        <w:t> </w:t>
      </w:r>
      <w:r>
        <w:rPr>
          <w:color w:val="231F20"/>
        </w:rPr>
        <w:t>cost</w:t>
      </w:r>
      <w:r>
        <w:rPr>
          <w:color w:val="231F20"/>
          <w:spacing w:val="-10"/>
        </w:rPr>
        <w:t> </w:t>
      </w:r>
      <w:r>
        <w:rPr>
          <w:color w:val="231F20"/>
        </w:rPr>
        <w:t>for</w:t>
      </w:r>
      <w:r>
        <w:rPr>
          <w:color w:val="231F20"/>
          <w:spacing w:val="-10"/>
        </w:rPr>
        <w:t> </w:t>
      </w:r>
      <w:r>
        <w:rPr>
          <w:color w:val="231F20"/>
        </w:rPr>
        <w:t>remaining investors of readjusting the portfolio as a result of changes in</w:t>
      </w:r>
      <w:r>
        <w:rPr>
          <w:color w:val="231F20"/>
          <w:spacing w:val="-3"/>
        </w:rPr>
        <w:t> </w:t>
      </w:r>
      <w:r>
        <w:rPr>
          <w:color w:val="231F20"/>
        </w:rPr>
        <w:t>liabilities.</w:t>
      </w:r>
    </w:p>
    <w:p>
      <w:pPr>
        <w:spacing w:line="268" w:lineRule="auto" w:before="96"/>
        <w:ind w:left="484" w:right="911" w:firstLine="0"/>
        <w:jc w:val="both"/>
        <w:rPr>
          <w:sz w:val="20"/>
        </w:rPr>
      </w:pPr>
      <w:r>
        <w:rPr/>
        <w:pict>
          <v:rect style="position:absolute;margin-left:306.990997pt;margin-top:-86.377678pt;width:3.898pt;height:3.898pt;mso-position-horizontal-relative:page;mso-position-vertical-relative:paragraph;z-index:15761408" filled="true" fillcolor="#cb4d2c" stroked="false">
            <v:fill type="solid"/>
            <w10:wrap type="none"/>
          </v:rect>
        </w:pict>
      </w:r>
      <w:r>
        <w:rPr/>
        <w:pict>
          <v:rect style="position:absolute;margin-left:306.990997pt;margin-top:10.291326pt;width:3.898pt;height:3.898pt;mso-position-horizontal-relative:page;mso-position-vertical-relative:paragraph;z-index:15761920" filled="true" fillcolor="#cb4d2c" stroked="false">
            <v:fill type="solid"/>
            <w10:wrap type="none"/>
          </v:rect>
        </w:pict>
      </w:r>
      <w:r>
        <w:rPr>
          <w:b/>
          <w:color w:val="CB4D2C"/>
          <w:sz w:val="20"/>
        </w:rPr>
        <w:t>Anti dilution levies accruing to funds with a </w:t>
      </w:r>
      <w:r>
        <w:rPr>
          <w:b/>
          <w:color w:val="CB4D2C"/>
          <w:position w:val="2"/>
          <w:sz w:val="20"/>
        </w:rPr>
        <w:t>trigger threshold: </w:t>
      </w:r>
      <w:r>
        <w:rPr>
          <w:color w:val="231F20"/>
          <w:sz w:val="20"/>
        </w:rPr>
        <w:t>In this case, the mechanism is only applied if the change in net liabilities exceeds a predetermined threshold.</w:t>
      </w:r>
    </w:p>
    <w:p>
      <w:pPr>
        <w:spacing w:line="268" w:lineRule="auto" w:before="93"/>
        <w:ind w:left="484" w:right="912" w:firstLine="0"/>
        <w:jc w:val="both"/>
        <w:rPr>
          <w:sz w:val="20"/>
        </w:rPr>
      </w:pPr>
      <w:r>
        <w:rPr/>
        <w:pict>
          <v:rect style="position:absolute;margin-left:306.990997pt;margin-top:10.141075pt;width:3.898pt;height:3.898pt;mso-position-horizontal-relative:page;mso-position-vertical-relative:paragraph;z-index:15762432" filled="true" fillcolor="#cb4d2c" stroked="false">
            <v:fill type="solid"/>
            <w10:wrap type="none"/>
          </v:rect>
        </w:pict>
      </w:r>
      <w:r>
        <w:rPr>
          <w:b/>
          <w:color w:val="CB4D2C"/>
          <w:sz w:val="20"/>
        </w:rPr>
        <w:t>Application threshold for anti dilution levies charges accruing to funds: </w:t>
      </w:r>
      <w:r>
        <w:rPr>
          <w:color w:val="231F20"/>
          <w:position w:val="-1"/>
          <w:sz w:val="20"/>
        </w:rPr>
        <w:t>The threshold </w:t>
      </w:r>
      <w:r>
        <w:rPr>
          <w:color w:val="231F20"/>
          <w:sz w:val="20"/>
        </w:rPr>
        <w:t>beyond which the mechanism is applied. Different upward and downward thresholds  may be used. Thresholds may be expressed as an amount, a number of units or a percentage of</w:t>
      </w:r>
      <w:r>
        <w:rPr>
          <w:color w:val="231F20"/>
          <w:spacing w:val="-1"/>
          <w:sz w:val="20"/>
        </w:rPr>
        <w:t> </w:t>
      </w:r>
      <w:r>
        <w:rPr>
          <w:color w:val="231F20"/>
          <w:sz w:val="20"/>
        </w:rPr>
        <w:t>assets.</w:t>
      </w:r>
    </w:p>
    <w:p>
      <w:pPr>
        <w:spacing w:after="0" w:line="268" w:lineRule="auto"/>
        <w:jc w:val="both"/>
        <w:rPr>
          <w:sz w:val="20"/>
        </w:rPr>
        <w:sectPr>
          <w:type w:val="continuous"/>
          <w:pgSz w:w="11910" w:h="16840"/>
          <w:pgMar w:top="1580" w:bottom="280" w:left="340" w:right="360"/>
          <w:cols w:num="2" w:equalWidth="0">
            <w:col w:w="5427" w:space="40"/>
            <w:col w:w="5743"/>
          </w:cols>
        </w:sectPr>
      </w:pPr>
    </w:p>
    <w:p>
      <w:pPr>
        <w:pStyle w:val="BodyText"/>
      </w:pPr>
    </w:p>
    <w:p>
      <w:pPr>
        <w:pStyle w:val="BodyText"/>
        <w:spacing w:after="1"/>
        <w:rPr>
          <w:sz w:val="27"/>
        </w:rPr>
      </w:pPr>
    </w:p>
    <w:p>
      <w:pPr>
        <w:pStyle w:val="BodyText"/>
        <w:spacing w:line="40" w:lineRule="exact"/>
        <w:ind w:left="915"/>
        <w:rPr>
          <w:sz w:val="4"/>
        </w:rPr>
      </w:pPr>
      <w:r>
        <w:rPr>
          <w:position w:val="0"/>
          <w:sz w:val="4"/>
        </w:rPr>
        <w:pict>
          <v:group style="width:467.75pt;height:2pt;mso-position-horizontal-relative:char;mso-position-vertical-relative:line" coordorigin="0,0" coordsize="9355,40">
            <v:line style="position:absolute" from="0,20" to="9354,20" stroked="true" strokeweight="2pt" strokecolor="#cb4d2c">
              <v:stroke dashstyle="solid"/>
            </v:line>
          </v:group>
        </w:pict>
      </w:r>
      <w:r>
        <w:rPr>
          <w:position w:val="0"/>
          <w:sz w:val="4"/>
        </w:rPr>
      </w:r>
    </w:p>
    <w:p>
      <w:pPr>
        <w:pStyle w:val="BodyText"/>
      </w:pPr>
    </w:p>
    <w:p>
      <w:pPr>
        <w:pStyle w:val="BodyText"/>
      </w:pPr>
    </w:p>
    <w:p>
      <w:pPr>
        <w:pStyle w:val="BodyText"/>
        <w:spacing w:before="10"/>
        <w:rPr>
          <w:sz w:val="16"/>
        </w:rPr>
      </w:pPr>
    </w:p>
    <w:p>
      <w:pPr>
        <w:pStyle w:val="Heading1"/>
        <w:spacing w:line="364" w:lineRule="exact" w:before="86"/>
        <w:ind w:left="963"/>
      </w:pPr>
      <w:r>
        <w:rPr>
          <w:color w:val="CB4D2C"/>
        </w:rPr>
        <w:t>APPENDIX 2.</w:t>
      </w:r>
    </w:p>
    <w:p>
      <w:pPr>
        <w:spacing w:line="364" w:lineRule="exact" w:before="0"/>
        <w:ind w:left="963" w:right="0" w:firstLine="0"/>
        <w:jc w:val="left"/>
        <w:rPr>
          <w:rFonts w:ascii="Arial"/>
          <w:sz w:val="32"/>
        </w:rPr>
      </w:pPr>
      <w:r>
        <w:rPr>
          <w:rFonts w:ascii="Arial"/>
          <w:color w:val="CB4D2C"/>
          <w:sz w:val="32"/>
        </w:rPr>
        <w:t>EXAMPLES OF CALCULATION</w:t>
      </w:r>
    </w:p>
    <w:p>
      <w:pPr>
        <w:pStyle w:val="BodyText"/>
        <w:spacing w:before="11"/>
        <w:rPr>
          <w:rFonts w:ascii="Arial"/>
          <w:sz w:val="29"/>
        </w:rPr>
      </w:pPr>
    </w:p>
    <w:p>
      <w:pPr>
        <w:pStyle w:val="BodyText"/>
        <w:spacing w:line="268" w:lineRule="auto"/>
        <w:ind w:left="963" w:right="5618"/>
      </w:pPr>
      <w:r>
        <w:rPr/>
        <w:drawing>
          <wp:anchor distT="0" distB="0" distL="0" distR="0" allowOverlap="1" layoutInCell="1" locked="0" behindDoc="0" simplePos="0" relativeHeight="15763456">
            <wp:simplePos x="0" y="0"/>
            <wp:positionH relativeFrom="page">
              <wp:posOffset>4469026</wp:posOffset>
            </wp:positionH>
            <wp:positionV relativeFrom="paragraph">
              <wp:posOffset>40549</wp:posOffset>
            </wp:positionV>
            <wp:extent cx="1717843" cy="205889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717843" cy="2058890"/>
                    </a:xfrm>
                    <a:prstGeom prst="rect">
                      <a:avLst/>
                    </a:prstGeom>
                  </pic:spPr>
                </pic:pic>
              </a:graphicData>
            </a:graphic>
          </wp:anchor>
        </w:drawing>
      </w:r>
      <w:r>
        <w:rPr>
          <w:color w:val="231F20"/>
        </w:rPr>
        <w:t>For illustrative purposes, the following examples are consistent with the principles set out above.</w:t>
      </w:r>
    </w:p>
    <w:p>
      <w:pPr>
        <w:pStyle w:val="BodyText"/>
        <w:spacing w:before="113"/>
        <w:ind w:left="963"/>
      </w:pPr>
      <w:r>
        <w:rPr>
          <w:color w:val="231F20"/>
        </w:rPr>
        <w:t>We will use the terms defined previously:</w:t>
      </w:r>
    </w:p>
    <w:p>
      <w:pPr>
        <w:spacing w:line="268" w:lineRule="auto" w:before="84"/>
        <w:ind w:left="1225" w:right="6610" w:hanging="262"/>
        <w:jc w:val="left"/>
        <w:rPr>
          <w:i/>
          <w:sz w:val="20"/>
        </w:rPr>
      </w:pPr>
      <w:r>
        <w:rPr>
          <w:i/>
          <w:color w:val="CB4D2C"/>
          <w:sz w:val="20"/>
        </w:rPr>
        <w:t>N: </w:t>
      </w:r>
      <w:r>
        <w:rPr>
          <w:i/>
          <w:color w:val="231F20"/>
          <w:sz w:val="20"/>
        </w:rPr>
        <w:t>Number of units before subscriptions and redemptions</w:t>
      </w:r>
    </w:p>
    <w:p>
      <w:pPr>
        <w:spacing w:before="57"/>
        <w:ind w:left="963" w:right="0" w:firstLine="0"/>
        <w:jc w:val="left"/>
        <w:rPr>
          <w:i/>
          <w:sz w:val="20"/>
        </w:rPr>
      </w:pPr>
      <w:r>
        <w:rPr>
          <w:i/>
          <w:color w:val="CB4D2C"/>
          <w:sz w:val="20"/>
        </w:rPr>
        <w:t>S: </w:t>
      </w:r>
      <w:r>
        <w:rPr>
          <w:i/>
          <w:color w:val="231F20"/>
          <w:sz w:val="20"/>
        </w:rPr>
        <w:t>Number of units subscribed</w:t>
      </w:r>
    </w:p>
    <w:p>
      <w:pPr>
        <w:spacing w:before="84"/>
        <w:ind w:left="963" w:right="0" w:firstLine="0"/>
        <w:jc w:val="left"/>
        <w:rPr>
          <w:i/>
          <w:sz w:val="20"/>
        </w:rPr>
      </w:pPr>
      <w:r>
        <w:rPr>
          <w:i/>
          <w:color w:val="CB4D2C"/>
          <w:sz w:val="20"/>
        </w:rPr>
        <w:t>R: </w:t>
      </w:r>
      <w:r>
        <w:rPr>
          <w:i/>
          <w:color w:val="231F20"/>
          <w:sz w:val="20"/>
        </w:rPr>
        <w:t>Number of units redeemed (R &gt; 0)</w:t>
      </w:r>
    </w:p>
    <w:p>
      <w:pPr>
        <w:spacing w:line="220" w:lineRule="auto" w:before="96"/>
        <w:ind w:left="1704" w:right="5618" w:hanging="741"/>
        <w:jc w:val="left"/>
        <w:rPr>
          <w:i/>
          <w:sz w:val="20"/>
        </w:rPr>
      </w:pPr>
      <w:r>
        <w:rPr>
          <w:i/>
          <w:color w:val="CB4D2C"/>
          <w:sz w:val="20"/>
        </w:rPr>
        <w:t>NAV</w:t>
      </w:r>
      <w:r>
        <w:rPr>
          <w:i/>
          <w:color w:val="CB4D2C"/>
          <w:position w:val="-6"/>
          <w:sz w:val="11"/>
        </w:rPr>
        <w:t>gross</w:t>
      </w:r>
      <w:r>
        <w:rPr>
          <w:i/>
          <w:color w:val="CB4D2C"/>
          <w:sz w:val="20"/>
        </w:rPr>
        <w:t>: </w:t>
      </w:r>
      <w:r>
        <w:rPr>
          <w:i/>
          <w:color w:val="231F20"/>
          <w:sz w:val="20"/>
        </w:rPr>
        <w:t>“Gross” unit value, calculated before swing pricing or ADLs are applied</w:t>
      </w:r>
    </w:p>
    <w:p>
      <w:pPr>
        <w:spacing w:line="220" w:lineRule="auto" w:before="99"/>
        <w:ind w:left="1761" w:right="6169" w:hanging="798"/>
        <w:jc w:val="left"/>
        <w:rPr>
          <w:i/>
          <w:sz w:val="20"/>
        </w:rPr>
      </w:pPr>
      <w:r>
        <w:rPr>
          <w:i/>
          <w:color w:val="CB4D2C"/>
          <w:sz w:val="20"/>
        </w:rPr>
        <w:t>NAV</w:t>
      </w:r>
      <w:r>
        <w:rPr>
          <w:i/>
          <w:color w:val="CB4D2C"/>
          <w:position w:val="-6"/>
          <w:sz w:val="11"/>
        </w:rPr>
        <w:t>swung</w:t>
      </w:r>
      <w:r>
        <w:rPr>
          <w:i/>
          <w:color w:val="CB4D2C"/>
          <w:sz w:val="20"/>
        </w:rPr>
        <w:t>: </w:t>
      </w:r>
      <w:r>
        <w:rPr>
          <w:i/>
          <w:color w:val="231F20"/>
          <w:sz w:val="20"/>
        </w:rPr>
        <w:t>Net asset value per unit after swing pricing is applied</w:t>
      </w:r>
    </w:p>
    <w:p>
      <w:pPr>
        <w:spacing w:line="268" w:lineRule="auto" w:before="88"/>
        <w:ind w:left="1217" w:right="6076" w:hanging="254"/>
        <w:jc w:val="left"/>
        <w:rPr>
          <w:i/>
          <w:sz w:val="20"/>
        </w:rPr>
      </w:pPr>
      <w:r>
        <w:rPr>
          <w:i/>
          <w:color w:val="CB4D2C"/>
          <w:sz w:val="20"/>
        </w:rPr>
        <w:t>C: </w:t>
      </w:r>
      <w:r>
        <w:rPr>
          <w:i/>
          <w:color w:val="231F20"/>
          <w:sz w:val="20"/>
        </w:rPr>
        <w:t>Estimated cost of readjusting the portfolio (expressed as an amount)</w:t>
      </w:r>
    </w:p>
    <w:p>
      <w:pPr>
        <w:spacing w:after="0" w:line="268" w:lineRule="auto"/>
        <w:jc w:val="left"/>
        <w:rPr>
          <w:sz w:val="20"/>
        </w:rPr>
        <w:sectPr>
          <w:type w:val="continuous"/>
          <w:pgSz w:w="11910" w:h="16840"/>
          <w:pgMar w:top="1580" w:bottom="280" w:left="340" w:right="360"/>
        </w:sectPr>
      </w:pPr>
    </w:p>
    <w:p>
      <w:pPr>
        <w:pStyle w:val="BodyText"/>
        <w:tabs>
          <w:tab w:pos="10289" w:val="left" w:leader="none"/>
          <w:tab w:pos="10817" w:val="left" w:leader="none"/>
        </w:tabs>
        <w:spacing w:before="77"/>
        <w:ind w:left="935"/>
        <w:rPr>
          <w:rFonts w:ascii="Arial"/>
        </w:rPr>
      </w:pPr>
      <w:r>
        <w:rPr>
          <w:rFonts w:ascii="Arial"/>
          <w:color w:val="FFFFFF"/>
          <w:spacing w:val="-6"/>
          <w:w w:val="96"/>
          <w:shd w:fill="CB4D2C" w:color="auto" w:val="clear"/>
        </w:rPr>
        <w:t> </w:t>
      </w:r>
      <w:r>
        <w:rPr>
          <w:rFonts w:ascii="Arial"/>
          <w:color w:val="FFFFFF"/>
          <w:shd w:fill="CB4D2C" w:color="auto" w:val="clear"/>
        </w:rPr>
        <w:t>APPENDIX</w:t>
        <w:tab/>
      </w:r>
      <w:r>
        <w:rPr>
          <w:rFonts w:ascii="Arial"/>
          <w:color w:val="FFFFFF"/>
        </w:rPr>
        <w:tab/>
      </w:r>
      <w:r>
        <w:rPr>
          <w:rFonts w:ascii="Arial"/>
          <w:color w:val="FFFFFF"/>
          <w:shd w:fill="CB4D2C" w:color="auto" w:val="clear"/>
        </w:rPr>
        <w:t>7</w:t>
      </w:r>
      <w:r>
        <w:rPr>
          <w:rFonts w:ascii="Arial"/>
          <w:color w:val="FFFFFF"/>
          <w:spacing w:val="-26"/>
          <w:shd w:fill="CB4D2C" w:color="auto" w:val="clear"/>
        </w:rPr>
        <w:t> </w:t>
      </w:r>
    </w:p>
    <w:p>
      <w:pPr>
        <w:pStyle w:val="BodyText"/>
        <w:rPr>
          <w:rFonts w:ascii="Arial"/>
        </w:rPr>
      </w:pPr>
    </w:p>
    <w:p>
      <w:pPr>
        <w:pStyle w:val="BodyText"/>
        <w:rPr>
          <w:rFonts w:ascii="Arial"/>
        </w:rPr>
      </w:pPr>
    </w:p>
    <w:p>
      <w:pPr>
        <w:pStyle w:val="BodyText"/>
        <w:rPr>
          <w:rFonts w:ascii="Arial"/>
        </w:rPr>
      </w:pPr>
    </w:p>
    <w:p>
      <w:pPr>
        <w:pStyle w:val="BodyText"/>
        <w:spacing w:before="3"/>
        <w:rPr>
          <w:rFonts w:ascii="Arial"/>
          <w:sz w:val="19"/>
        </w:rPr>
      </w:pPr>
    </w:p>
    <w:p>
      <w:pPr>
        <w:tabs>
          <w:tab w:pos="5796" w:val="left" w:leader="none"/>
        </w:tabs>
        <w:spacing w:line="20" w:lineRule="exact"/>
        <w:ind w:left="932" w:right="0" w:firstLine="0"/>
        <w:rPr>
          <w:rFonts w:ascii="Arial"/>
          <w:sz w:val="2"/>
        </w:rPr>
      </w:pPr>
      <w:r>
        <w:rPr>
          <w:rFonts w:ascii="Arial"/>
          <w:position w:val="1"/>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rFonts w:ascii="Arial"/>
          <w:position w:val="1"/>
          <w:sz w:val="2"/>
        </w:rPr>
      </w:r>
      <w:r>
        <w:rPr>
          <w:rFonts w:ascii="Arial"/>
          <w:position w:val="1"/>
          <w:sz w:val="2"/>
        </w:rPr>
        <w:tab/>
      </w:r>
      <w:r>
        <w:rPr>
          <w:rFonts w:ascii="Arial"/>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rFonts w:ascii="Arial"/>
          <w:sz w:val="2"/>
        </w:rPr>
      </w:r>
    </w:p>
    <w:p>
      <w:pPr>
        <w:spacing w:after="0" w:line="20" w:lineRule="exact"/>
        <w:rPr>
          <w:rFonts w:ascii="Arial"/>
          <w:sz w:val="2"/>
        </w:rPr>
        <w:sectPr>
          <w:pgSz w:w="11910" w:h="16840"/>
          <w:pgMar w:top="380" w:bottom="280" w:left="340" w:right="360"/>
        </w:sectPr>
      </w:pPr>
    </w:p>
    <w:p>
      <w:pPr>
        <w:pStyle w:val="Heading2"/>
        <w:rPr>
          <w:rFonts w:ascii="Arial"/>
        </w:rPr>
      </w:pPr>
      <w:r>
        <w:rPr>
          <w:rFonts w:ascii="Arial"/>
          <w:color w:val="CB4D2C"/>
        </w:rPr>
        <w:t>Example</w:t>
      </w:r>
      <w:r>
        <w:rPr>
          <w:rFonts w:ascii="Arial"/>
          <w:color w:val="CB4D2C"/>
          <w:spacing w:val="42"/>
        </w:rPr>
        <w:t> </w:t>
      </w:r>
      <w:r>
        <w:rPr>
          <w:rFonts w:ascii="Arial"/>
          <w:color w:val="CB4D2C"/>
        </w:rPr>
        <w:t>1</w:t>
      </w:r>
    </w:p>
    <w:p>
      <w:pPr>
        <w:pStyle w:val="BodyText"/>
        <w:spacing w:before="4"/>
        <w:rPr>
          <w:rFonts w:ascii="Arial"/>
          <w:sz w:val="5"/>
        </w:rPr>
      </w:pPr>
    </w:p>
    <w:p>
      <w:pPr>
        <w:pStyle w:val="BodyText"/>
        <w:spacing w:line="20" w:lineRule="exact"/>
        <w:ind w:left="932" w:right="-72"/>
        <w:rPr>
          <w:rFonts w:ascii="Arial"/>
          <w:sz w:val="2"/>
        </w:rPr>
      </w:pPr>
      <w:r>
        <w:rPr>
          <w:rFonts w:ascii="Arial"/>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rFonts w:ascii="Arial"/>
          <w:sz w:val="2"/>
        </w:rPr>
      </w:r>
    </w:p>
    <w:p>
      <w:pPr>
        <w:pStyle w:val="Heading3"/>
        <w:spacing w:before="109"/>
      </w:pPr>
      <w:r>
        <w:rPr>
          <w:color w:val="CB4D2C"/>
        </w:rPr>
        <w:t>Assumptions</w:t>
      </w:r>
    </w:p>
    <w:p>
      <w:pPr>
        <w:spacing w:line="268" w:lineRule="auto" w:before="142"/>
        <w:ind w:left="935" w:right="440" w:firstLine="0"/>
        <w:jc w:val="left"/>
        <w:rPr>
          <w:i/>
          <w:sz w:val="20"/>
        </w:rPr>
      </w:pPr>
      <w:r>
        <w:rPr>
          <w:i/>
          <w:color w:val="CB4D2C"/>
          <w:sz w:val="20"/>
        </w:rPr>
        <w:t>FuND: </w:t>
      </w:r>
      <w:r>
        <w:rPr>
          <w:i/>
          <w:color w:val="231F20"/>
          <w:sz w:val="20"/>
        </w:rPr>
        <w:t>Fund valued on a mid-price basis with a fixed income benchmark.</w:t>
      </w:r>
    </w:p>
    <w:p>
      <w:pPr>
        <w:spacing w:line="268" w:lineRule="auto" w:before="56"/>
        <w:ind w:left="935" w:right="-18" w:firstLine="0"/>
        <w:jc w:val="left"/>
        <w:rPr>
          <w:i/>
          <w:sz w:val="20"/>
        </w:rPr>
      </w:pPr>
      <w:r>
        <w:rPr>
          <w:i/>
          <w:color w:val="CB4D2C"/>
          <w:sz w:val="20"/>
        </w:rPr>
        <w:t>Estimated cost: </w:t>
      </w:r>
      <w:r>
        <w:rPr>
          <w:i/>
          <w:color w:val="231F20"/>
          <w:sz w:val="20"/>
        </w:rPr>
        <w:t>Cost of liquidity only; measured on the basis of daily bid-ask spreads per security; based on an assumption of buying/selling underlying securities in proportion to positions held in the portfolio.</w:t>
      </w:r>
    </w:p>
    <w:p>
      <w:pPr>
        <w:pStyle w:val="BodyText"/>
        <w:spacing w:before="6"/>
        <w:rPr>
          <w:i/>
          <w:sz w:val="19"/>
        </w:rPr>
      </w:pPr>
    </w:p>
    <w:p>
      <w:pPr>
        <w:pStyle w:val="Heading3"/>
      </w:pPr>
      <w:r>
        <w:rPr>
          <w:color w:val="CB4D2C"/>
        </w:rPr>
        <w:t>Readjustment cost</w:t>
      </w:r>
    </w:p>
    <w:p>
      <w:pPr>
        <w:spacing w:line="145" w:lineRule="exact" w:before="141"/>
        <w:ind w:left="1086" w:right="0" w:firstLine="0"/>
        <w:jc w:val="left"/>
        <w:rPr>
          <w:i/>
          <w:sz w:val="20"/>
        </w:rPr>
      </w:pPr>
      <w:r>
        <w:rPr/>
        <w:pict>
          <v:rect style="position:absolute;margin-left:63.779999pt;margin-top:11.541351pt;width:3.898pt;height:3.898pt;mso-position-horizontal-relative:page;mso-position-vertical-relative:paragraph;z-index:15768576" filled="true" fillcolor="#cb4d2c" stroked="false">
            <v:fill type="solid"/>
            <w10:wrap type="none"/>
          </v:rect>
        </w:pict>
      </w:r>
      <w:r>
        <w:rPr>
          <w:color w:val="231F20"/>
          <w:sz w:val="20"/>
        </w:rPr>
        <w:t>If</w:t>
      </w:r>
      <w:r>
        <w:rPr>
          <w:color w:val="231F20"/>
          <w:spacing w:val="-14"/>
          <w:sz w:val="20"/>
        </w:rPr>
        <w:t> </w:t>
      </w:r>
      <w:r>
        <w:rPr>
          <w:i/>
          <w:color w:val="CB4D2C"/>
          <w:sz w:val="20"/>
        </w:rPr>
        <w:t>S</w:t>
      </w:r>
      <w:r>
        <w:rPr>
          <w:i/>
          <w:color w:val="CB4D2C"/>
          <w:spacing w:val="-13"/>
          <w:sz w:val="20"/>
        </w:rPr>
        <w:t> </w:t>
      </w:r>
      <w:r>
        <w:rPr>
          <w:i/>
          <w:color w:val="CB4D2C"/>
          <w:sz w:val="20"/>
        </w:rPr>
        <w:t>&gt;</w:t>
      </w:r>
      <w:r>
        <w:rPr>
          <w:i/>
          <w:color w:val="CB4D2C"/>
          <w:spacing w:val="-13"/>
          <w:sz w:val="20"/>
        </w:rPr>
        <w:t> </w:t>
      </w:r>
      <w:r>
        <w:rPr>
          <w:i/>
          <w:color w:val="CB4D2C"/>
          <w:sz w:val="20"/>
        </w:rPr>
        <w:t>R</w:t>
      </w:r>
      <w:r>
        <w:rPr>
          <w:i/>
          <w:color w:val="CB4D2C"/>
          <w:spacing w:val="-14"/>
          <w:sz w:val="20"/>
        </w:rPr>
        <w:t> </w:t>
      </w:r>
      <w:r>
        <w:rPr>
          <w:i/>
          <w:color w:val="CB4D2C"/>
          <w:sz w:val="20"/>
        </w:rPr>
        <w:t>:</w:t>
      </w:r>
      <w:r>
        <w:rPr>
          <w:i/>
          <w:color w:val="CB4D2C"/>
          <w:spacing w:val="-13"/>
          <w:sz w:val="20"/>
        </w:rPr>
        <w:t> </w:t>
      </w:r>
      <w:r>
        <w:rPr>
          <w:i/>
          <w:color w:val="CB4D2C"/>
          <w:sz w:val="20"/>
        </w:rPr>
        <w:t>C</w:t>
      </w:r>
      <w:r>
        <w:rPr>
          <w:i/>
          <w:color w:val="CB4D2C"/>
          <w:spacing w:val="-13"/>
          <w:sz w:val="20"/>
        </w:rPr>
        <w:t> </w:t>
      </w:r>
      <w:r>
        <w:rPr>
          <w:i/>
          <w:color w:val="CB4D2C"/>
          <w:sz w:val="20"/>
        </w:rPr>
        <w:t>=</w:t>
      </w:r>
      <w:r>
        <w:rPr>
          <w:i/>
          <w:color w:val="CB4D2C"/>
          <w:spacing w:val="-15"/>
          <w:sz w:val="20"/>
        </w:rPr>
        <w:t> </w:t>
      </w:r>
      <w:r>
        <w:rPr>
          <w:i/>
          <w:color w:val="CB4D2C"/>
          <w:sz w:val="20"/>
        </w:rPr>
        <w:t>(S</w:t>
      </w:r>
      <w:r>
        <w:rPr>
          <w:i/>
          <w:color w:val="CB4D2C"/>
          <w:spacing w:val="-13"/>
          <w:sz w:val="20"/>
        </w:rPr>
        <w:t> </w:t>
      </w:r>
      <w:r>
        <w:rPr>
          <w:i/>
          <w:color w:val="CB4D2C"/>
          <w:sz w:val="20"/>
        </w:rPr>
        <w:t>–</w:t>
      </w:r>
      <w:r>
        <w:rPr>
          <w:i/>
          <w:color w:val="CB4D2C"/>
          <w:spacing w:val="-13"/>
          <w:sz w:val="20"/>
        </w:rPr>
        <w:t> </w:t>
      </w:r>
      <w:r>
        <w:rPr>
          <w:i/>
          <w:color w:val="CB4D2C"/>
          <w:sz w:val="20"/>
        </w:rPr>
        <w:t>R)</w:t>
      </w:r>
      <w:r>
        <w:rPr>
          <w:i/>
          <w:color w:val="CB4D2C"/>
          <w:spacing w:val="-13"/>
          <w:sz w:val="20"/>
        </w:rPr>
        <w:t> </w:t>
      </w:r>
      <w:r>
        <w:rPr>
          <w:i/>
          <w:color w:val="CB4D2C"/>
          <w:sz w:val="20"/>
        </w:rPr>
        <w:t>*</w:t>
      </w:r>
      <w:r>
        <w:rPr>
          <w:i/>
          <w:color w:val="CB4D2C"/>
          <w:spacing w:val="-14"/>
          <w:sz w:val="20"/>
        </w:rPr>
        <w:t> </w:t>
      </w:r>
      <w:r>
        <w:rPr>
          <w:i/>
          <w:color w:val="CB4D2C"/>
          <w:sz w:val="20"/>
        </w:rPr>
        <w:t>Σ</w:t>
      </w:r>
      <w:r>
        <w:rPr>
          <w:i/>
          <w:color w:val="CB4D2C"/>
          <w:spacing w:val="-13"/>
          <w:sz w:val="20"/>
        </w:rPr>
        <w:t> </w:t>
      </w:r>
      <w:r>
        <w:rPr>
          <w:i/>
          <w:color w:val="CB4D2C"/>
          <w:spacing w:val="-5"/>
          <w:sz w:val="20"/>
        </w:rPr>
        <w:t>QuANTITy</w:t>
      </w:r>
      <w:r>
        <w:rPr>
          <w:i/>
          <w:color w:val="CB4D2C"/>
          <w:spacing w:val="21"/>
          <w:sz w:val="20"/>
        </w:rPr>
        <w:t> </w:t>
      </w:r>
      <w:r>
        <w:rPr>
          <w:i/>
          <w:color w:val="CB4D2C"/>
          <w:sz w:val="20"/>
        </w:rPr>
        <w:t>*</w:t>
      </w:r>
      <w:r>
        <w:rPr>
          <w:i/>
          <w:color w:val="CB4D2C"/>
          <w:spacing w:val="-13"/>
          <w:sz w:val="20"/>
        </w:rPr>
        <w:t> </w:t>
      </w:r>
      <w:r>
        <w:rPr>
          <w:i/>
          <w:color w:val="CB4D2C"/>
          <w:spacing w:val="-3"/>
          <w:sz w:val="20"/>
        </w:rPr>
        <w:t>(ASK</w:t>
      </w:r>
      <w:r>
        <w:rPr>
          <w:i/>
          <w:color w:val="CB4D2C"/>
          <w:spacing w:val="21"/>
          <w:sz w:val="20"/>
        </w:rPr>
        <w:t> </w:t>
      </w:r>
      <w:r>
        <w:rPr>
          <w:i/>
          <w:color w:val="CB4D2C"/>
          <w:sz w:val="20"/>
        </w:rPr>
        <w:t>–</w:t>
      </w:r>
      <w:r>
        <w:rPr>
          <w:i/>
          <w:color w:val="CB4D2C"/>
          <w:spacing w:val="-14"/>
          <w:sz w:val="20"/>
        </w:rPr>
        <w:t> </w:t>
      </w:r>
      <w:r>
        <w:rPr>
          <w:i/>
          <w:color w:val="CB4D2C"/>
          <w:sz w:val="20"/>
        </w:rPr>
        <w:t>MID</w:t>
      </w:r>
      <w:r>
        <w:rPr>
          <w:i/>
          <w:color w:val="CB4D2C"/>
          <w:spacing w:val="-28"/>
          <w:sz w:val="20"/>
        </w:rPr>
        <w:t> </w:t>
      </w:r>
      <w:r>
        <w:rPr>
          <w:i/>
          <w:color w:val="CB4D2C"/>
          <w:sz w:val="20"/>
        </w:rPr>
        <w:t>)</w:t>
      </w:r>
      <w:r>
        <w:rPr>
          <w:i/>
          <w:color w:val="CB4D2C"/>
          <w:spacing w:val="-13"/>
          <w:sz w:val="20"/>
        </w:rPr>
        <w:t> </w:t>
      </w:r>
      <w:r>
        <w:rPr>
          <w:i/>
          <w:color w:val="CB4D2C"/>
          <w:sz w:val="20"/>
        </w:rPr>
        <w:t>/</w:t>
      </w:r>
      <w:r>
        <w:rPr>
          <w:i/>
          <w:color w:val="CB4D2C"/>
          <w:spacing w:val="-14"/>
          <w:sz w:val="20"/>
        </w:rPr>
        <w:t> </w:t>
      </w:r>
      <w:r>
        <w:rPr>
          <w:i/>
          <w:color w:val="CB4D2C"/>
          <w:sz w:val="20"/>
        </w:rPr>
        <w:t>N</w:t>
      </w:r>
    </w:p>
    <w:p>
      <w:pPr>
        <w:pStyle w:val="Heading2"/>
        <w:spacing w:before="58"/>
        <w:ind w:left="334"/>
        <w:rPr>
          <w:rFonts w:ascii="Arial"/>
        </w:rPr>
      </w:pPr>
      <w:r>
        <w:rPr/>
        <w:br w:type="column"/>
      </w:r>
      <w:r>
        <w:rPr>
          <w:rFonts w:ascii="Arial"/>
          <w:color w:val="CB4D2C"/>
          <w:w w:val="105"/>
        </w:rPr>
        <w:t>Example 3</w:t>
      </w:r>
    </w:p>
    <w:p>
      <w:pPr>
        <w:pStyle w:val="BodyText"/>
        <w:spacing w:before="4"/>
        <w:rPr>
          <w:rFonts w:ascii="Arial"/>
          <w:sz w:val="5"/>
        </w:rPr>
      </w:pPr>
    </w:p>
    <w:p>
      <w:pPr>
        <w:pStyle w:val="BodyText"/>
        <w:spacing w:line="20" w:lineRule="exact"/>
        <w:ind w:left="331"/>
        <w:rPr>
          <w:rFonts w:ascii="Arial"/>
          <w:sz w:val="2"/>
        </w:rPr>
      </w:pPr>
      <w:r>
        <w:rPr>
          <w:rFonts w:ascii="Arial"/>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rFonts w:ascii="Arial"/>
          <w:sz w:val="2"/>
        </w:rPr>
      </w:r>
    </w:p>
    <w:p>
      <w:pPr>
        <w:pStyle w:val="Heading3"/>
        <w:spacing w:before="110"/>
        <w:ind w:left="334"/>
      </w:pPr>
      <w:r>
        <w:rPr/>
        <w:pict>
          <v:shape style="position:absolute;margin-left:559.997437pt;margin-top:-61.173409pt;width:9.8pt;height:84.7pt;mso-position-horizontal-relative:page;mso-position-vertical-relative:paragraph;z-index:15775744" type="#_x0000_t202" filled="false" stroked="false">
            <v:textbox inset="0,0,0,0" style="layout-flow:vertical;mso-layout-flow-alt:bottom-to-top">
              <w:txbxContent>
                <w:p>
                  <w:pPr>
                    <w:spacing w:before="13"/>
                    <w:ind w:left="20" w:right="0" w:firstLine="0"/>
                    <w:jc w:val="left"/>
                    <w:rPr>
                      <w:rFonts w:ascii="Arial" w:hAnsi="Arial"/>
                      <w:sz w:val="14"/>
                    </w:rPr>
                  </w:pPr>
                  <w:r>
                    <w:rPr>
                      <w:rFonts w:ascii="Arial" w:hAnsi="Arial"/>
                      <w:color w:val="CB4D2C"/>
                      <w:w w:val="105"/>
                      <w:sz w:val="14"/>
                    </w:rPr>
                    <w:t>AFG – NOVEMBER</w:t>
                  </w:r>
                  <w:r>
                    <w:rPr>
                      <w:rFonts w:ascii="Arial" w:hAnsi="Arial"/>
                      <w:color w:val="CB4D2C"/>
                      <w:spacing w:val="-24"/>
                      <w:w w:val="105"/>
                      <w:sz w:val="14"/>
                    </w:rPr>
                    <w:t> </w:t>
                  </w:r>
                  <w:r>
                    <w:rPr>
                      <w:rFonts w:ascii="Arial" w:hAnsi="Arial"/>
                      <w:color w:val="CB4D2C"/>
                      <w:w w:val="105"/>
                      <w:sz w:val="14"/>
                    </w:rPr>
                    <w:t>2020</w:t>
                  </w:r>
                </w:p>
              </w:txbxContent>
            </v:textbox>
            <w10:wrap type="none"/>
          </v:shape>
        </w:pict>
      </w:r>
      <w:r>
        <w:rPr>
          <w:color w:val="CB4D2C"/>
        </w:rPr>
        <w:t>Assumptions</w:t>
      </w:r>
    </w:p>
    <w:p>
      <w:pPr>
        <w:spacing w:before="141"/>
        <w:ind w:left="334" w:right="0" w:firstLine="0"/>
        <w:jc w:val="both"/>
        <w:rPr>
          <w:i/>
          <w:sz w:val="20"/>
        </w:rPr>
      </w:pPr>
      <w:r>
        <w:rPr>
          <w:i/>
          <w:color w:val="CB4D2C"/>
          <w:sz w:val="20"/>
        </w:rPr>
        <w:t>FuND: </w:t>
      </w:r>
      <w:r>
        <w:rPr>
          <w:i/>
          <w:color w:val="231F20"/>
          <w:sz w:val="20"/>
        </w:rPr>
        <w:t>Flexible euro equity fund.</w:t>
      </w:r>
    </w:p>
    <w:p>
      <w:pPr>
        <w:spacing w:before="84"/>
        <w:ind w:left="334" w:right="0" w:firstLine="0"/>
        <w:jc w:val="both"/>
        <w:rPr>
          <w:i/>
          <w:sz w:val="20"/>
        </w:rPr>
      </w:pPr>
      <w:r>
        <w:rPr>
          <w:i/>
          <w:color w:val="CB4D2C"/>
          <w:sz w:val="20"/>
        </w:rPr>
        <w:t>Estimated cost: </w:t>
      </w:r>
      <w:r>
        <w:rPr>
          <w:i/>
          <w:color w:val="231F20"/>
          <w:sz w:val="20"/>
        </w:rPr>
        <w:t>Tax only (applicable on sales</w:t>
      </w:r>
    </w:p>
    <w:p>
      <w:pPr>
        <w:spacing w:line="268" w:lineRule="auto" w:before="28"/>
        <w:ind w:left="334" w:right="925" w:firstLine="0"/>
        <w:jc w:val="both"/>
        <w:rPr>
          <w:i/>
          <w:sz w:val="20"/>
        </w:rPr>
      </w:pPr>
      <w:r>
        <w:rPr>
          <w:i/>
          <w:color w:val="231F20"/>
          <w:sz w:val="20"/>
        </w:rPr>
        <w:t>and in only one country); based on an assumption of buying</w:t>
      </w:r>
      <w:r>
        <w:rPr>
          <w:i/>
          <w:color w:val="231F20"/>
          <w:spacing w:val="-38"/>
          <w:sz w:val="20"/>
        </w:rPr>
        <w:t> </w:t>
      </w:r>
      <w:r>
        <w:rPr>
          <w:color w:val="231F20"/>
          <w:sz w:val="20"/>
        </w:rPr>
        <w:t>/</w:t>
      </w:r>
      <w:r>
        <w:rPr>
          <w:color w:val="231F20"/>
          <w:spacing w:val="-40"/>
          <w:sz w:val="20"/>
        </w:rPr>
        <w:t> </w:t>
      </w:r>
      <w:r>
        <w:rPr>
          <w:i/>
          <w:color w:val="231F20"/>
          <w:sz w:val="20"/>
        </w:rPr>
        <w:t>selling underlying securities in </w:t>
      </w:r>
      <w:r>
        <w:rPr>
          <w:i/>
          <w:color w:val="231F20"/>
          <w:spacing w:val="-4"/>
          <w:sz w:val="20"/>
        </w:rPr>
        <w:t>propor- </w:t>
      </w:r>
      <w:r>
        <w:rPr>
          <w:i/>
          <w:color w:val="231F20"/>
          <w:sz w:val="20"/>
        </w:rPr>
        <w:t>tion to positions held in the</w:t>
      </w:r>
      <w:r>
        <w:rPr>
          <w:i/>
          <w:color w:val="231F20"/>
          <w:spacing w:val="-11"/>
          <w:sz w:val="20"/>
        </w:rPr>
        <w:t> </w:t>
      </w:r>
      <w:r>
        <w:rPr>
          <w:i/>
          <w:color w:val="231F20"/>
          <w:sz w:val="20"/>
        </w:rPr>
        <w:t>portfolio.</w:t>
      </w:r>
    </w:p>
    <w:p>
      <w:pPr>
        <w:pStyle w:val="BodyText"/>
        <w:spacing w:before="6"/>
        <w:rPr>
          <w:i/>
          <w:sz w:val="19"/>
        </w:rPr>
      </w:pPr>
    </w:p>
    <w:p>
      <w:pPr>
        <w:pStyle w:val="Heading3"/>
        <w:ind w:left="334"/>
        <w:jc w:val="both"/>
      </w:pPr>
      <w:r>
        <w:rPr>
          <w:color w:val="CB4D2C"/>
        </w:rPr>
        <w:t>Readjustment cost</w:t>
      </w:r>
    </w:p>
    <w:p>
      <w:pPr>
        <w:spacing w:before="141"/>
        <w:ind w:left="485" w:right="0" w:firstLine="0"/>
        <w:jc w:val="left"/>
        <w:rPr>
          <w:i/>
          <w:sz w:val="20"/>
        </w:rPr>
      </w:pPr>
      <w:r>
        <w:rPr/>
        <w:pict>
          <v:rect style="position:absolute;margin-left:306.990997pt;margin-top:11.541635pt;width:3.898pt;height:3.898pt;mso-position-horizontal-relative:page;mso-position-vertical-relative:paragraph;z-index:15772672" filled="true" fillcolor="#cb4d2c" stroked="false">
            <v:fill type="solid"/>
            <w10:wrap type="none"/>
          </v:rect>
        </w:pict>
      </w:r>
      <w:r>
        <w:rPr>
          <w:color w:val="231F20"/>
          <w:sz w:val="20"/>
        </w:rPr>
        <w:t>If </w:t>
      </w:r>
      <w:r>
        <w:rPr>
          <w:i/>
          <w:color w:val="CB4D2C"/>
          <w:sz w:val="20"/>
        </w:rPr>
        <w:t>S &gt; R : C = 0</w:t>
      </w:r>
    </w:p>
    <w:p>
      <w:pPr>
        <w:spacing w:line="277" w:lineRule="exact" w:before="141"/>
        <w:ind w:left="485" w:right="0" w:firstLine="0"/>
        <w:jc w:val="left"/>
        <w:rPr>
          <w:i/>
          <w:sz w:val="20"/>
        </w:rPr>
      </w:pPr>
      <w:r>
        <w:rPr/>
        <w:pict>
          <v:rect style="position:absolute;margin-left:306.990997pt;margin-top:11.541323pt;width:3.898pt;height:3.898pt;mso-position-horizontal-relative:page;mso-position-vertical-relative:paragraph;z-index:15773184" filled="true" fillcolor="#cb4d2c" stroked="false">
            <v:fill type="solid"/>
            <w10:wrap type="none"/>
          </v:rect>
        </w:pict>
      </w:r>
      <w:r>
        <w:rPr>
          <w:color w:val="231F20"/>
          <w:sz w:val="20"/>
        </w:rPr>
        <w:t>If </w:t>
      </w:r>
      <w:r>
        <w:rPr>
          <w:i/>
          <w:color w:val="CB4D2C"/>
          <w:sz w:val="20"/>
        </w:rPr>
        <w:t>S &lt; R : C = NAV</w:t>
      </w:r>
      <w:r>
        <w:rPr>
          <w:i/>
          <w:color w:val="CB4D2C"/>
          <w:position w:val="-6"/>
          <w:sz w:val="11"/>
        </w:rPr>
        <w:t>gross </w:t>
      </w:r>
      <w:r>
        <w:rPr>
          <w:i/>
          <w:color w:val="CB4D2C"/>
          <w:sz w:val="20"/>
        </w:rPr>
        <w:t>* (R – S) * TAX * EXPO_CTRy</w:t>
      </w:r>
    </w:p>
    <w:p>
      <w:pPr>
        <w:spacing w:after="0" w:line="277" w:lineRule="exact"/>
        <w:jc w:val="left"/>
        <w:rPr>
          <w:sz w:val="20"/>
        </w:rPr>
        <w:sectPr>
          <w:type w:val="continuous"/>
          <w:pgSz w:w="11910" w:h="16840"/>
          <w:pgMar w:top="1580" w:bottom="280" w:left="340" w:right="360"/>
          <w:cols w:num="2" w:equalWidth="0">
            <w:col w:w="5426" w:space="40"/>
            <w:col w:w="5744"/>
          </w:cols>
        </w:sectPr>
      </w:pPr>
    </w:p>
    <w:p>
      <w:pPr>
        <w:tabs>
          <w:tab w:pos="603" w:val="left" w:leader="none"/>
          <w:tab w:pos="1133" w:val="left" w:leader="none"/>
        </w:tabs>
        <w:spacing w:line="90" w:lineRule="exact" w:before="6"/>
        <w:ind w:left="0" w:right="2320" w:firstLine="0"/>
        <w:jc w:val="center"/>
        <w:rPr>
          <w:i/>
          <w:sz w:val="11"/>
        </w:rPr>
      </w:pPr>
      <w:r>
        <w:rPr>
          <w:i/>
          <w:color w:val="CB4D2C"/>
          <w:w w:val="105"/>
          <w:sz w:val="11"/>
        </w:rPr>
        <w:t>i</w:t>
        <w:tab/>
        <w:t>i</w:t>
        <w:tab/>
        <w:t>i</w:t>
      </w:r>
    </w:p>
    <w:p>
      <w:pPr>
        <w:spacing w:after="0" w:line="90" w:lineRule="exact"/>
        <w:jc w:val="center"/>
        <w:rPr>
          <w:sz w:val="11"/>
        </w:rPr>
        <w:sectPr>
          <w:type w:val="continuous"/>
          <w:pgSz w:w="11910" w:h="16840"/>
          <w:pgMar w:top="1580" w:bottom="280" w:left="340" w:right="360"/>
        </w:sectPr>
      </w:pPr>
    </w:p>
    <w:p>
      <w:pPr>
        <w:spacing w:before="133"/>
        <w:ind w:left="1082" w:right="0" w:firstLine="0"/>
        <w:jc w:val="left"/>
        <w:rPr>
          <w:i/>
          <w:sz w:val="20"/>
        </w:rPr>
      </w:pPr>
      <w:r>
        <w:rPr/>
        <w:pict>
          <v:rect style="position:absolute;margin-left:63.779999pt;margin-top:11.14104pt;width:3.898pt;height:3.898pt;mso-position-horizontal-relative:page;mso-position-vertical-relative:paragraph;z-index:15769088" filled="true" fillcolor="#cb4d2c" stroked="false">
            <v:fill type="solid"/>
            <w10:wrap type="none"/>
          </v:rect>
        </w:pict>
      </w:r>
      <w:r>
        <w:rPr>
          <w:color w:val="231F20"/>
          <w:sz w:val="20"/>
        </w:rPr>
        <w:t>If</w:t>
      </w:r>
      <w:r>
        <w:rPr>
          <w:color w:val="231F20"/>
          <w:spacing w:val="-12"/>
          <w:sz w:val="20"/>
        </w:rPr>
        <w:t> </w:t>
      </w:r>
      <w:r>
        <w:rPr>
          <w:i/>
          <w:color w:val="CB4D2C"/>
          <w:sz w:val="20"/>
        </w:rPr>
        <w:t>S</w:t>
      </w:r>
      <w:r>
        <w:rPr>
          <w:i/>
          <w:color w:val="CB4D2C"/>
          <w:spacing w:val="-11"/>
          <w:sz w:val="20"/>
        </w:rPr>
        <w:t> </w:t>
      </w:r>
      <w:r>
        <w:rPr>
          <w:i/>
          <w:color w:val="CB4D2C"/>
          <w:sz w:val="20"/>
        </w:rPr>
        <w:t>&lt;</w:t>
      </w:r>
      <w:r>
        <w:rPr>
          <w:i/>
          <w:color w:val="CB4D2C"/>
          <w:spacing w:val="-11"/>
          <w:sz w:val="20"/>
        </w:rPr>
        <w:t> </w:t>
      </w:r>
      <w:r>
        <w:rPr>
          <w:i/>
          <w:color w:val="CB4D2C"/>
          <w:sz w:val="20"/>
        </w:rPr>
        <w:t>R</w:t>
      </w:r>
      <w:r>
        <w:rPr>
          <w:i/>
          <w:color w:val="CB4D2C"/>
          <w:spacing w:val="-12"/>
          <w:sz w:val="20"/>
        </w:rPr>
        <w:t> </w:t>
      </w:r>
      <w:r>
        <w:rPr>
          <w:i/>
          <w:color w:val="CB4D2C"/>
          <w:sz w:val="20"/>
        </w:rPr>
        <w:t>:</w:t>
      </w:r>
      <w:r>
        <w:rPr>
          <w:i/>
          <w:color w:val="CB4D2C"/>
          <w:spacing w:val="-11"/>
          <w:sz w:val="20"/>
        </w:rPr>
        <w:t> </w:t>
      </w:r>
      <w:r>
        <w:rPr>
          <w:i/>
          <w:color w:val="CB4D2C"/>
          <w:sz w:val="20"/>
        </w:rPr>
        <w:t>C</w:t>
      </w:r>
      <w:r>
        <w:rPr>
          <w:i/>
          <w:color w:val="CB4D2C"/>
          <w:spacing w:val="-11"/>
          <w:sz w:val="20"/>
        </w:rPr>
        <w:t> </w:t>
      </w:r>
      <w:r>
        <w:rPr>
          <w:i/>
          <w:color w:val="CB4D2C"/>
          <w:sz w:val="20"/>
        </w:rPr>
        <w:t>=</w:t>
      </w:r>
      <w:r>
        <w:rPr>
          <w:i/>
          <w:color w:val="CB4D2C"/>
          <w:spacing w:val="-12"/>
          <w:sz w:val="20"/>
        </w:rPr>
        <w:t> </w:t>
      </w:r>
      <w:r>
        <w:rPr>
          <w:i/>
          <w:color w:val="CB4D2C"/>
          <w:sz w:val="20"/>
        </w:rPr>
        <w:t>(R</w:t>
      </w:r>
      <w:r>
        <w:rPr>
          <w:i/>
          <w:color w:val="CB4D2C"/>
          <w:spacing w:val="-11"/>
          <w:sz w:val="20"/>
        </w:rPr>
        <w:t> </w:t>
      </w:r>
      <w:r>
        <w:rPr>
          <w:i/>
          <w:color w:val="CB4D2C"/>
          <w:sz w:val="20"/>
        </w:rPr>
        <w:t>–</w:t>
      </w:r>
      <w:r>
        <w:rPr>
          <w:i/>
          <w:color w:val="CB4D2C"/>
          <w:spacing w:val="-11"/>
          <w:sz w:val="20"/>
        </w:rPr>
        <w:t> </w:t>
      </w:r>
      <w:r>
        <w:rPr>
          <w:i/>
          <w:color w:val="CB4D2C"/>
          <w:sz w:val="20"/>
        </w:rPr>
        <w:t>S)</w:t>
      </w:r>
      <w:r>
        <w:rPr>
          <w:i/>
          <w:color w:val="CB4D2C"/>
          <w:spacing w:val="-12"/>
          <w:sz w:val="20"/>
        </w:rPr>
        <w:t> </w:t>
      </w:r>
      <w:r>
        <w:rPr>
          <w:i/>
          <w:color w:val="CB4D2C"/>
          <w:sz w:val="20"/>
        </w:rPr>
        <w:t>*</w:t>
      </w:r>
      <w:r>
        <w:rPr>
          <w:i/>
          <w:color w:val="CB4D2C"/>
          <w:spacing w:val="-11"/>
          <w:sz w:val="20"/>
        </w:rPr>
        <w:t> </w:t>
      </w:r>
      <w:r>
        <w:rPr>
          <w:i/>
          <w:color w:val="CB4D2C"/>
          <w:sz w:val="20"/>
        </w:rPr>
        <w:t>Σ</w:t>
      </w:r>
      <w:r>
        <w:rPr>
          <w:i/>
          <w:color w:val="CB4D2C"/>
          <w:spacing w:val="-11"/>
          <w:sz w:val="20"/>
        </w:rPr>
        <w:t> </w:t>
      </w:r>
      <w:r>
        <w:rPr>
          <w:i/>
          <w:color w:val="CB4D2C"/>
          <w:spacing w:val="-4"/>
          <w:sz w:val="20"/>
        </w:rPr>
        <w:t>QuANTITy</w:t>
      </w:r>
      <w:r>
        <w:rPr>
          <w:i/>
          <w:color w:val="CB4D2C"/>
          <w:spacing w:val="-4"/>
          <w:position w:val="-6"/>
          <w:sz w:val="11"/>
        </w:rPr>
        <w:t>i</w:t>
      </w:r>
      <w:r>
        <w:rPr>
          <w:i/>
          <w:color w:val="CB4D2C"/>
          <w:spacing w:val="16"/>
          <w:position w:val="-6"/>
          <w:sz w:val="11"/>
        </w:rPr>
        <w:t> </w:t>
      </w:r>
      <w:r>
        <w:rPr>
          <w:i/>
          <w:color w:val="CB4D2C"/>
          <w:sz w:val="20"/>
        </w:rPr>
        <w:t>*</w:t>
      </w:r>
      <w:r>
        <w:rPr>
          <w:i/>
          <w:color w:val="CB4D2C"/>
          <w:spacing w:val="-11"/>
          <w:sz w:val="20"/>
        </w:rPr>
        <w:t> </w:t>
      </w:r>
      <w:r>
        <w:rPr>
          <w:i/>
          <w:color w:val="CB4D2C"/>
          <w:spacing w:val="-3"/>
          <w:sz w:val="20"/>
        </w:rPr>
        <w:t>(MID</w:t>
      </w:r>
      <w:r>
        <w:rPr>
          <w:i/>
          <w:color w:val="CB4D2C"/>
          <w:spacing w:val="-3"/>
          <w:position w:val="-6"/>
          <w:sz w:val="11"/>
        </w:rPr>
        <w:t>i</w:t>
      </w:r>
      <w:r>
        <w:rPr>
          <w:i/>
          <w:color w:val="CB4D2C"/>
          <w:spacing w:val="17"/>
          <w:position w:val="-6"/>
          <w:sz w:val="11"/>
        </w:rPr>
        <w:t> </w:t>
      </w:r>
      <w:r>
        <w:rPr>
          <w:i/>
          <w:color w:val="CB4D2C"/>
          <w:sz w:val="20"/>
        </w:rPr>
        <w:t>–</w:t>
      </w:r>
      <w:r>
        <w:rPr>
          <w:i/>
          <w:color w:val="CB4D2C"/>
          <w:spacing w:val="-11"/>
          <w:sz w:val="20"/>
        </w:rPr>
        <w:t> </w:t>
      </w:r>
      <w:r>
        <w:rPr>
          <w:i/>
          <w:color w:val="CB4D2C"/>
          <w:sz w:val="20"/>
        </w:rPr>
        <w:t>BID</w:t>
      </w:r>
      <w:r>
        <w:rPr>
          <w:i/>
          <w:color w:val="CB4D2C"/>
          <w:position w:val="-6"/>
          <w:sz w:val="11"/>
        </w:rPr>
        <w:t>i</w:t>
      </w:r>
      <w:r>
        <w:rPr>
          <w:i/>
          <w:color w:val="CB4D2C"/>
          <w:sz w:val="20"/>
        </w:rPr>
        <w:t>)</w:t>
      </w:r>
      <w:r>
        <w:rPr>
          <w:i/>
          <w:color w:val="CB4D2C"/>
          <w:spacing w:val="-12"/>
          <w:sz w:val="20"/>
        </w:rPr>
        <w:t> </w:t>
      </w:r>
      <w:r>
        <w:rPr>
          <w:i/>
          <w:color w:val="CB4D2C"/>
          <w:sz w:val="20"/>
        </w:rPr>
        <w:t>/</w:t>
      </w:r>
      <w:r>
        <w:rPr>
          <w:i/>
          <w:color w:val="CB4D2C"/>
          <w:spacing w:val="-11"/>
          <w:sz w:val="20"/>
        </w:rPr>
        <w:t> </w:t>
      </w:r>
      <w:r>
        <w:rPr>
          <w:i/>
          <w:color w:val="CB4D2C"/>
          <w:sz w:val="20"/>
        </w:rPr>
        <w:t>N</w:t>
      </w:r>
    </w:p>
    <w:p>
      <w:pPr>
        <w:pStyle w:val="BodyText"/>
        <w:spacing w:line="260" w:lineRule="exact" w:before="71"/>
        <w:ind w:left="935" w:hanging="1"/>
      </w:pPr>
      <w:r>
        <w:rPr>
          <w:color w:val="231F20"/>
        </w:rPr>
        <w:t>where </w:t>
      </w:r>
      <w:r>
        <w:rPr>
          <w:i/>
          <w:color w:val="CB4D2C"/>
        </w:rPr>
        <w:t>QuANTITy</w:t>
      </w:r>
      <w:r>
        <w:rPr>
          <w:i/>
          <w:color w:val="CB4D2C"/>
          <w:position w:val="-6"/>
          <w:sz w:val="11"/>
        </w:rPr>
        <w:t>i</w:t>
      </w:r>
      <w:r>
        <w:rPr>
          <w:color w:val="231F20"/>
        </w:rPr>
        <w:t>, </w:t>
      </w:r>
      <w:r>
        <w:rPr>
          <w:i/>
          <w:color w:val="CB4D2C"/>
        </w:rPr>
        <w:t>BID</w:t>
      </w:r>
      <w:r>
        <w:rPr>
          <w:i/>
          <w:color w:val="CB4D2C"/>
          <w:position w:val="-6"/>
          <w:sz w:val="11"/>
        </w:rPr>
        <w:t>i</w:t>
      </w:r>
      <w:r>
        <w:rPr>
          <w:color w:val="231F20"/>
        </w:rPr>
        <w:t>, </w:t>
      </w:r>
      <w:r>
        <w:rPr>
          <w:i/>
          <w:color w:val="CB4D2C"/>
        </w:rPr>
        <w:t>ASK</w:t>
      </w:r>
      <w:r>
        <w:rPr>
          <w:i/>
          <w:color w:val="CB4D2C"/>
          <w:position w:val="-6"/>
          <w:sz w:val="11"/>
        </w:rPr>
        <w:t>i </w:t>
      </w:r>
      <w:r>
        <w:rPr>
          <w:color w:val="231F20"/>
        </w:rPr>
        <w:t>and </w:t>
      </w:r>
      <w:r>
        <w:rPr>
          <w:i/>
          <w:color w:val="CB4D2C"/>
        </w:rPr>
        <w:t>MID</w:t>
      </w:r>
      <w:r>
        <w:rPr>
          <w:i/>
          <w:color w:val="CB4D2C"/>
          <w:position w:val="-6"/>
          <w:sz w:val="11"/>
        </w:rPr>
        <w:t>i</w:t>
      </w:r>
      <w:r>
        <w:rPr>
          <w:color w:val="231F20"/>
        </w:rPr>
        <w:t>, represent the quantities and bid, ask and mid prices of securities held by the fund.</w:t>
      </w:r>
    </w:p>
    <w:p>
      <w:pPr>
        <w:pStyle w:val="BodyText"/>
        <w:spacing w:before="3"/>
        <w:rPr>
          <w:sz w:val="21"/>
        </w:rPr>
      </w:pPr>
    </w:p>
    <w:p>
      <w:pPr>
        <w:pStyle w:val="Heading3"/>
      </w:pPr>
      <w:r>
        <w:rPr>
          <w:color w:val="CB4D2C"/>
        </w:rPr>
        <w:t>Swung net asset value per share</w:t>
      </w:r>
    </w:p>
    <w:p>
      <w:pPr>
        <w:pStyle w:val="BodyText"/>
        <w:spacing w:line="268" w:lineRule="auto"/>
        <w:ind w:left="334" w:right="1390"/>
      </w:pPr>
      <w:r>
        <w:rPr/>
        <w:br w:type="column"/>
      </w:r>
      <w:r>
        <w:rPr>
          <w:color w:val="231F20"/>
        </w:rPr>
        <w:t>where </w:t>
      </w:r>
      <w:r>
        <w:rPr>
          <w:i/>
          <w:color w:val="CB4D2C"/>
        </w:rPr>
        <w:t>TAX </w:t>
      </w:r>
      <w:r>
        <w:rPr>
          <w:color w:val="231F20"/>
        </w:rPr>
        <w:t>is the applicable tax (as a %) and </w:t>
      </w:r>
      <w:r>
        <w:rPr>
          <w:i/>
          <w:color w:val="CB4D2C"/>
        </w:rPr>
        <w:t>EXPO_CTRy</w:t>
      </w:r>
      <w:r>
        <w:rPr>
          <w:color w:val="231F20"/>
        </w:rPr>
        <w:t>, is the fund’s current exposure to the country in question (as a %).</w:t>
      </w:r>
    </w:p>
    <w:p>
      <w:pPr>
        <w:pStyle w:val="BodyText"/>
        <w:spacing w:before="6"/>
        <w:rPr>
          <w:sz w:val="19"/>
        </w:rPr>
      </w:pPr>
    </w:p>
    <w:p>
      <w:pPr>
        <w:pStyle w:val="Heading3"/>
        <w:ind w:left="334"/>
      </w:pPr>
      <w:r>
        <w:rPr>
          <w:color w:val="CB4D2C"/>
        </w:rPr>
        <w:t>Swung net asset value per share</w:t>
      </w:r>
    </w:p>
    <w:p>
      <w:pPr>
        <w:spacing w:before="141"/>
        <w:ind w:left="485" w:right="0" w:firstLine="0"/>
        <w:jc w:val="left"/>
        <w:rPr>
          <w:i/>
          <w:sz w:val="11"/>
        </w:rPr>
      </w:pPr>
      <w:r>
        <w:rPr/>
        <w:pict>
          <v:rect style="position:absolute;margin-left:306.990997pt;margin-top:11.54126pt;width:3.898pt;height:3.898pt;mso-position-horizontal-relative:page;mso-position-vertical-relative:paragraph;z-index:15773696" filled="true" fillcolor="#cb4d2c" stroked="false">
            <v:fill type="solid"/>
            <w10:wrap type="none"/>
          </v:rect>
        </w:pict>
      </w:r>
      <w:r>
        <w:rPr/>
        <w:pict>
          <v:rect style="position:absolute;margin-left:306.990997pt;margin-top:30.21126pt;width:3.898pt;height:3.898pt;mso-position-horizontal-relative:page;mso-position-vertical-relative:paragraph;z-index:15774208" filled="true" fillcolor="#cb4d2c" stroked="false">
            <v:fill type="solid"/>
            <w10:wrap type="none"/>
          </v:rect>
        </w:pict>
      </w:r>
      <w:r>
        <w:rPr>
          <w:color w:val="231F20"/>
          <w:sz w:val="20"/>
        </w:rPr>
        <w:t>If </w:t>
      </w:r>
      <w:r>
        <w:rPr>
          <w:i/>
          <w:color w:val="CB4D2C"/>
          <w:sz w:val="20"/>
        </w:rPr>
        <w:t>S &gt; R : NAV</w:t>
      </w:r>
      <w:r>
        <w:rPr>
          <w:i/>
          <w:color w:val="CB4D2C"/>
          <w:position w:val="-6"/>
          <w:sz w:val="11"/>
        </w:rPr>
        <w:t>swung </w:t>
      </w:r>
      <w:r>
        <w:rPr>
          <w:i/>
          <w:color w:val="CB4D2C"/>
          <w:sz w:val="20"/>
        </w:rPr>
        <w:t>= NAV</w:t>
      </w:r>
      <w:r>
        <w:rPr>
          <w:i/>
          <w:color w:val="CB4D2C"/>
          <w:position w:val="-6"/>
          <w:sz w:val="11"/>
        </w:rPr>
        <w:t>gross</w:t>
      </w:r>
    </w:p>
    <w:p>
      <w:pPr>
        <w:spacing w:after="0"/>
        <w:jc w:val="left"/>
        <w:rPr>
          <w:sz w:val="11"/>
        </w:rPr>
        <w:sectPr>
          <w:type w:val="continuous"/>
          <w:pgSz w:w="11910" w:h="16840"/>
          <w:pgMar w:top="1580" w:bottom="280" w:left="340" w:right="360"/>
          <w:cols w:num="2" w:equalWidth="0">
            <w:col w:w="5426" w:space="40"/>
            <w:col w:w="5744"/>
          </w:cols>
        </w:sectPr>
      </w:pPr>
    </w:p>
    <w:p>
      <w:pPr>
        <w:spacing w:line="241" w:lineRule="exact" w:before="141"/>
        <w:ind w:left="1086" w:right="0" w:firstLine="0"/>
        <w:jc w:val="left"/>
        <w:rPr>
          <w:i/>
          <w:sz w:val="11"/>
        </w:rPr>
      </w:pPr>
      <w:r>
        <w:rPr/>
        <w:pict>
          <v:rect style="position:absolute;margin-left:63.779999pt;margin-top:11.541855pt;width:3.898pt;height:3.898pt;mso-position-horizontal-relative:page;mso-position-vertical-relative:paragraph;z-index:15769600" filled="true" fillcolor="#cb4d2c" stroked="false">
            <v:fill type="solid"/>
            <w10:wrap type="none"/>
          </v:rect>
        </w:pict>
      </w:r>
      <w:r>
        <w:rPr>
          <w:color w:val="231F20"/>
          <w:sz w:val="20"/>
        </w:rPr>
        <w:t>If </w:t>
      </w:r>
      <w:r>
        <w:rPr>
          <w:i/>
          <w:color w:val="CB4D2C"/>
          <w:sz w:val="20"/>
        </w:rPr>
        <w:t>S &gt; R : </w:t>
      </w:r>
      <w:r>
        <w:rPr>
          <w:i/>
          <w:color w:val="CB4D2C"/>
          <w:spacing w:val="-6"/>
          <w:sz w:val="20"/>
        </w:rPr>
        <w:t>NAV</w:t>
      </w:r>
      <w:r>
        <w:rPr>
          <w:i/>
          <w:color w:val="CB4D2C"/>
          <w:spacing w:val="-6"/>
          <w:position w:val="-6"/>
          <w:sz w:val="11"/>
        </w:rPr>
        <w:t>swung</w:t>
      </w:r>
    </w:p>
    <w:p>
      <w:pPr>
        <w:spacing w:line="244" w:lineRule="exact" w:before="137"/>
        <w:ind w:left="18" w:right="0" w:firstLine="0"/>
        <w:jc w:val="left"/>
        <w:rPr>
          <w:i/>
          <w:sz w:val="11"/>
        </w:rPr>
      </w:pPr>
      <w:r>
        <w:rPr/>
        <w:br w:type="column"/>
      </w:r>
      <w:r>
        <w:rPr>
          <w:i/>
          <w:color w:val="CB4D2C"/>
          <w:position w:val="7"/>
          <w:sz w:val="20"/>
        </w:rPr>
        <w:t>= </w:t>
      </w:r>
      <w:r>
        <w:rPr>
          <w:i/>
          <w:color w:val="CB4D2C"/>
          <w:spacing w:val="-8"/>
          <w:position w:val="7"/>
          <w:sz w:val="20"/>
        </w:rPr>
        <w:t>NAV</w:t>
      </w:r>
      <w:r>
        <w:rPr>
          <w:i/>
          <w:color w:val="CB4D2C"/>
          <w:spacing w:val="-8"/>
          <w:sz w:val="11"/>
        </w:rPr>
        <w:t>gross</w:t>
      </w:r>
    </w:p>
    <w:p>
      <w:pPr>
        <w:spacing w:line="241" w:lineRule="exact" w:before="141"/>
        <w:ind w:left="18" w:right="0" w:firstLine="0"/>
        <w:jc w:val="left"/>
        <w:rPr>
          <w:i/>
          <w:sz w:val="20"/>
        </w:rPr>
      </w:pPr>
      <w:r>
        <w:rPr/>
        <w:br w:type="column"/>
      </w:r>
      <w:r>
        <w:rPr>
          <w:i/>
          <w:color w:val="CB4D2C"/>
          <w:sz w:val="20"/>
        </w:rPr>
        <w:t>+ Σ QuANTITy</w:t>
      </w:r>
      <w:r>
        <w:rPr>
          <w:i/>
          <w:color w:val="CB4D2C"/>
          <w:position w:val="-6"/>
          <w:sz w:val="11"/>
        </w:rPr>
        <w:t>i </w:t>
      </w:r>
      <w:r>
        <w:rPr>
          <w:i/>
          <w:color w:val="CB4D2C"/>
          <w:sz w:val="20"/>
        </w:rPr>
        <w:t>*</w:t>
      </w:r>
    </w:p>
    <w:p>
      <w:pPr>
        <w:spacing w:before="8"/>
        <w:ind w:left="1021" w:right="854" w:firstLine="0"/>
        <w:jc w:val="center"/>
        <w:rPr>
          <w:i/>
          <w:sz w:val="20"/>
        </w:rPr>
      </w:pPr>
      <w:r>
        <w:rPr/>
        <w:br w:type="column"/>
      </w:r>
      <w:r>
        <w:rPr>
          <w:color w:val="231F20"/>
          <w:sz w:val="20"/>
        </w:rPr>
        <w:t>If </w:t>
      </w:r>
      <w:r>
        <w:rPr>
          <w:i/>
          <w:color w:val="CB4D2C"/>
          <w:sz w:val="20"/>
        </w:rPr>
        <w:t>S &lt; R : NAV</w:t>
      </w:r>
      <w:r>
        <w:rPr>
          <w:i/>
          <w:color w:val="CB4D2C"/>
          <w:position w:val="-6"/>
          <w:sz w:val="11"/>
        </w:rPr>
        <w:t>swung </w:t>
      </w:r>
      <w:r>
        <w:rPr>
          <w:i/>
          <w:color w:val="CB4D2C"/>
          <w:sz w:val="20"/>
        </w:rPr>
        <w:t>= NAV</w:t>
      </w:r>
      <w:r>
        <w:rPr>
          <w:i/>
          <w:color w:val="CB4D2C"/>
          <w:position w:val="-6"/>
          <w:sz w:val="11"/>
        </w:rPr>
        <w:t>gross </w:t>
      </w:r>
      <w:r>
        <w:rPr>
          <w:i/>
          <w:color w:val="CB4D2C"/>
          <w:sz w:val="20"/>
        </w:rPr>
        <w:t>* (1 + TAX * EXPO_CTRy</w:t>
      </w:r>
    </w:p>
    <w:p>
      <w:pPr>
        <w:spacing w:after="0"/>
        <w:jc w:val="center"/>
        <w:rPr>
          <w:sz w:val="20"/>
        </w:rPr>
        <w:sectPr>
          <w:type w:val="continuous"/>
          <w:pgSz w:w="11910" w:h="16840"/>
          <w:pgMar w:top="1580" w:bottom="280" w:left="340" w:right="360"/>
          <w:cols w:num="4" w:equalWidth="0">
            <w:col w:w="2539" w:space="40"/>
            <w:col w:w="775" w:space="39"/>
            <w:col w:w="1398" w:space="65"/>
            <w:col w:w="6354"/>
          </w:cols>
        </w:sectPr>
      </w:pPr>
    </w:p>
    <w:p>
      <w:pPr>
        <w:spacing w:before="19"/>
        <w:ind w:left="1087" w:right="0" w:firstLine="0"/>
        <w:jc w:val="left"/>
        <w:rPr>
          <w:i/>
          <w:sz w:val="20"/>
        </w:rPr>
      </w:pPr>
      <w:r>
        <w:rPr>
          <w:i/>
          <w:color w:val="CB4D2C"/>
          <w:sz w:val="20"/>
        </w:rPr>
        <w:t>(ASK</w:t>
      </w:r>
      <w:r>
        <w:rPr>
          <w:i/>
          <w:color w:val="CB4D2C"/>
          <w:position w:val="-6"/>
          <w:sz w:val="11"/>
        </w:rPr>
        <w:t>i </w:t>
      </w:r>
      <w:r>
        <w:rPr>
          <w:i/>
          <w:color w:val="CB4D2C"/>
          <w:sz w:val="20"/>
        </w:rPr>
        <w:t>– MID</w:t>
      </w:r>
      <w:r>
        <w:rPr>
          <w:i/>
          <w:color w:val="CB4D2C"/>
          <w:position w:val="-6"/>
          <w:sz w:val="11"/>
        </w:rPr>
        <w:t>i</w:t>
      </w:r>
      <w:r>
        <w:rPr>
          <w:i/>
          <w:color w:val="CB4D2C"/>
          <w:sz w:val="20"/>
        </w:rPr>
        <w:t>) / N = Σ QuANTITy</w:t>
      </w:r>
      <w:r>
        <w:rPr>
          <w:i/>
          <w:color w:val="CB4D2C"/>
          <w:position w:val="-6"/>
          <w:sz w:val="11"/>
        </w:rPr>
        <w:t>i </w:t>
      </w:r>
      <w:r>
        <w:rPr>
          <w:i/>
          <w:color w:val="CB4D2C"/>
          <w:sz w:val="20"/>
        </w:rPr>
        <w:t>* ASK</w:t>
      </w:r>
      <w:r>
        <w:rPr>
          <w:i/>
          <w:color w:val="CB4D2C"/>
          <w:position w:val="-6"/>
          <w:sz w:val="11"/>
        </w:rPr>
        <w:t>i </w:t>
      </w:r>
      <w:r>
        <w:rPr>
          <w:i/>
          <w:color w:val="CB4D2C"/>
          <w:sz w:val="20"/>
        </w:rPr>
        <w:t>/ N</w:t>
      </w:r>
    </w:p>
    <w:p>
      <w:pPr>
        <w:spacing w:line="260" w:lineRule="exact" w:before="91"/>
        <w:ind w:left="1086" w:right="0" w:firstLine="0"/>
        <w:jc w:val="left"/>
        <w:rPr>
          <w:i/>
          <w:sz w:val="20"/>
        </w:rPr>
      </w:pPr>
      <w:r>
        <w:rPr/>
        <w:pict>
          <v:rect style="position:absolute;margin-left:63.778999pt;margin-top:9.041543pt;width:3.898pt;height:3.898pt;mso-position-horizontal-relative:page;mso-position-vertical-relative:paragraph;z-index:15770112" filled="true" fillcolor="#cb4d2c" stroked="false">
            <v:fill type="solid"/>
            <w10:wrap type="none"/>
          </v:rect>
        </w:pict>
      </w:r>
      <w:r>
        <w:rPr>
          <w:color w:val="231F20"/>
          <w:sz w:val="20"/>
        </w:rPr>
        <w:t>If </w:t>
      </w:r>
      <w:r>
        <w:rPr>
          <w:i/>
          <w:color w:val="CB4D2C"/>
          <w:sz w:val="20"/>
        </w:rPr>
        <w:t>S &lt; R : </w:t>
      </w:r>
      <w:r>
        <w:rPr>
          <w:i/>
          <w:color w:val="CB4D2C"/>
          <w:spacing w:val="-6"/>
          <w:sz w:val="20"/>
        </w:rPr>
        <w:t>NAVswing </w:t>
      </w:r>
      <w:r>
        <w:rPr>
          <w:i/>
          <w:color w:val="CB4D2C"/>
          <w:sz w:val="20"/>
        </w:rPr>
        <w:t>= </w:t>
      </w:r>
      <w:r>
        <w:rPr>
          <w:i/>
          <w:color w:val="CB4D2C"/>
          <w:spacing w:val="-6"/>
          <w:sz w:val="20"/>
        </w:rPr>
        <w:t>NAVgross </w:t>
      </w:r>
      <w:r>
        <w:rPr>
          <w:i/>
          <w:color w:val="CB4D2C"/>
          <w:sz w:val="20"/>
        </w:rPr>
        <w:t>- Σ </w:t>
      </w:r>
      <w:r>
        <w:rPr>
          <w:i/>
          <w:color w:val="CB4D2C"/>
          <w:spacing w:val="-4"/>
          <w:sz w:val="20"/>
        </w:rPr>
        <w:t>QuANTITy</w:t>
      </w:r>
      <w:r>
        <w:rPr>
          <w:i/>
          <w:color w:val="CB4D2C"/>
          <w:spacing w:val="-4"/>
          <w:position w:val="-6"/>
          <w:sz w:val="11"/>
        </w:rPr>
        <w:t>i </w:t>
      </w:r>
      <w:r>
        <w:rPr>
          <w:i/>
          <w:color w:val="CB4D2C"/>
          <w:sz w:val="20"/>
        </w:rPr>
        <w:t>*</w:t>
      </w:r>
    </w:p>
    <w:p>
      <w:pPr>
        <w:pStyle w:val="BodyText"/>
        <w:spacing w:line="290" w:lineRule="auto"/>
        <w:ind w:left="678" w:right="1013"/>
      </w:pPr>
      <w:r>
        <w:rPr/>
        <w:br w:type="column"/>
      </w:r>
      <w:r>
        <w:rPr>
          <w:color w:val="231F20"/>
        </w:rPr>
        <w:t>This amounts to applying only a downward swing factor.</w:t>
      </w:r>
    </w:p>
    <w:p>
      <w:pPr>
        <w:spacing w:after="0" w:line="290" w:lineRule="auto"/>
        <w:sectPr>
          <w:type w:val="continuous"/>
          <w:pgSz w:w="11910" w:h="16840"/>
          <w:pgMar w:top="1580" w:bottom="280" w:left="340" w:right="360"/>
          <w:cols w:num="2" w:equalWidth="0">
            <w:col w:w="5082" w:space="40"/>
            <w:col w:w="6088"/>
          </w:cols>
        </w:sectPr>
      </w:pPr>
    </w:p>
    <w:p>
      <w:pPr>
        <w:spacing w:before="0"/>
        <w:ind w:left="1086" w:right="0" w:firstLine="0"/>
        <w:jc w:val="left"/>
        <w:rPr>
          <w:i/>
          <w:sz w:val="20"/>
        </w:rPr>
      </w:pPr>
      <w:r>
        <w:rPr>
          <w:i/>
          <w:color w:val="CB4D2C"/>
          <w:sz w:val="20"/>
        </w:rPr>
        <w:t>(MID</w:t>
      </w:r>
      <w:r>
        <w:rPr>
          <w:i/>
          <w:color w:val="CB4D2C"/>
          <w:position w:val="-6"/>
          <w:sz w:val="11"/>
        </w:rPr>
        <w:t>i </w:t>
      </w:r>
      <w:r>
        <w:rPr>
          <w:i/>
          <w:color w:val="CB4D2C"/>
          <w:sz w:val="20"/>
        </w:rPr>
        <w:t>– BID</w:t>
      </w:r>
      <w:r>
        <w:rPr>
          <w:i/>
          <w:color w:val="CB4D2C"/>
          <w:position w:val="-6"/>
          <w:sz w:val="11"/>
        </w:rPr>
        <w:t>i</w:t>
      </w:r>
      <w:r>
        <w:rPr>
          <w:i/>
          <w:color w:val="CB4D2C"/>
          <w:sz w:val="20"/>
        </w:rPr>
        <w:t>) / N = Σ QuANTITy</w:t>
      </w:r>
      <w:r>
        <w:rPr>
          <w:i/>
          <w:color w:val="CB4D2C"/>
          <w:position w:val="-6"/>
          <w:sz w:val="11"/>
        </w:rPr>
        <w:t>i </w:t>
      </w:r>
      <w:r>
        <w:rPr>
          <w:i/>
          <w:color w:val="CB4D2C"/>
          <w:sz w:val="20"/>
        </w:rPr>
        <w:t>* BID</w:t>
      </w:r>
      <w:r>
        <w:rPr>
          <w:i/>
          <w:color w:val="CB4D2C"/>
          <w:position w:val="-6"/>
          <w:sz w:val="11"/>
        </w:rPr>
        <w:t>i </w:t>
      </w:r>
      <w:r>
        <w:rPr>
          <w:i/>
          <w:color w:val="CB4D2C"/>
          <w:sz w:val="20"/>
        </w:rPr>
        <w:t>/ N</w:t>
      </w:r>
    </w:p>
    <w:p>
      <w:pPr>
        <w:pStyle w:val="BodyText"/>
        <w:spacing w:line="268" w:lineRule="auto" w:before="91"/>
        <w:ind w:left="935" w:right="6013"/>
      </w:pPr>
      <w:r>
        <w:rPr>
          <w:color w:val="231F20"/>
        </w:rPr>
        <w:t>This amounts to calculating the net asset value on the basis of bid or ask prices.</w:t>
      </w:r>
    </w:p>
    <w:p>
      <w:pPr>
        <w:pStyle w:val="BodyText"/>
        <w:spacing w:before="3" w:after="1"/>
        <w:rPr>
          <w:sz w:val="22"/>
        </w:rPr>
      </w:pPr>
    </w:p>
    <w:p>
      <w:pPr>
        <w:tabs>
          <w:tab w:pos="5796" w:val="left" w:leader="none"/>
        </w:tabs>
        <w:spacing w:line="20" w:lineRule="exact"/>
        <w:ind w:left="932" w:right="0" w:firstLine="0"/>
        <w:rPr>
          <w:sz w:val="2"/>
        </w:rPr>
      </w:pPr>
      <w:r>
        <w:rPr>
          <w:position w:val="1"/>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position w:val="1"/>
          <w:sz w:val="2"/>
        </w:rPr>
      </w:r>
      <w:r>
        <w:rPr>
          <w:position w:val="1"/>
          <w:sz w:val="2"/>
        </w:rPr>
        <w:tab/>
      </w:r>
      <w:r>
        <w:rPr>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sz w:val="2"/>
        </w:rPr>
      </w:r>
    </w:p>
    <w:p>
      <w:pPr>
        <w:spacing w:after="0" w:line="20" w:lineRule="exact"/>
        <w:rPr>
          <w:sz w:val="2"/>
        </w:rPr>
        <w:sectPr>
          <w:type w:val="continuous"/>
          <w:pgSz w:w="11910" w:h="16840"/>
          <w:pgMar w:top="1580" w:bottom="280" w:left="340" w:right="360"/>
        </w:sectPr>
      </w:pPr>
    </w:p>
    <w:p>
      <w:pPr>
        <w:pStyle w:val="Heading2"/>
        <w:rPr>
          <w:rFonts w:ascii="Arial"/>
        </w:rPr>
      </w:pPr>
      <w:r>
        <w:rPr/>
        <w:pict>
          <v:line style="position:absolute;mso-position-horizontal-relative:page;mso-position-vertical-relative:paragraph;z-index:15768064" from="63.779499pt,19.25016pt" to="288.284499pt,19.25016pt" stroked="true" strokeweight=".25pt" strokecolor="#cb4d2c">
            <v:stroke dashstyle="solid"/>
            <w10:wrap type="none"/>
          </v:line>
        </w:pict>
      </w:r>
      <w:r>
        <w:rPr>
          <w:rFonts w:ascii="Arial"/>
          <w:color w:val="CB4D2C"/>
          <w:w w:val="105"/>
        </w:rPr>
        <w:t>Example 2</w:t>
      </w:r>
    </w:p>
    <w:p>
      <w:pPr>
        <w:pStyle w:val="Heading3"/>
        <w:spacing w:before="191"/>
      </w:pPr>
      <w:r>
        <w:rPr>
          <w:color w:val="CB4D2C"/>
        </w:rPr>
        <w:t>Assumptions</w:t>
      </w:r>
    </w:p>
    <w:p>
      <w:pPr>
        <w:spacing w:line="268" w:lineRule="auto" w:before="141"/>
        <w:ind w:left="935" w:right="328" w:firstLine="0"/>
        <w:jc w:val="left"/>
        <w:rPr>
          <w:i/>
          <w:sz w:val="20"/>
        </w:rPr>
      </w:pPr>
      <w:r>
        <w:rPr>
          <w:i/>
          <w:color w:val="CB4D2C"/>
          <w:sz w:val="20"/>
        </w:rPr>
        <w:t>FuND: </w:t>
      </w:r>
      <w:r>
        <w:rPr>
          <w:i/>
          <w:color w:val="231F20"/>
          <w:sz w:val="20"/>
        </w:rPr>
        <w:t>Fund valued on a mid-price basis with a eurozone credit benchmark.</w:t>
      </w:r>
    </w:p>
    <w:p>
      <w:pPr>
        <w:spacing w:before="57"/>
        <w:ind w:left="935" w:right="0" w:firstLine="0"/>
        <w:jc w:val="left"/>
        <w:rPr>
          <w:i/>
          <w:sz w:val="20"/>
        </w:rPr>
      </w:pPr>
      <w:r>
        <w:rPr>
          <w:i/>
          <w:color w:val="CB4D2C"/>
          <w:sz w:val="20"/>
        </w:rPr>
        <w:t>Estimated cost: </w:t>
      </w:r>
      <w:r>
        <w:rPr>
          <w:i/>
          <w:color w:val="231F20"/>
          <w:sz w:val="20"/>
        </w:rPr>
        <w:t>Cost of liquidity only;</w:t>
      </w:r>
    </w:p>
    <w:p>
      <w:pPr>
        <w:spacing w:line="268" w:lineRule="auto" w:before="27"/>
        <w:ind w:left="935" w:right="25" w:firstLine="0"/>
        <w:jc w:val="left"/>
        <w:rPr>
          <w:i/>
          <w:sz w:val="20"/>
        </w:rPr>
      </w:pPr>
      <w:r>
        <w:rPr>
          <w:i/>
          <w:color w:val="231F20"/>
          <w:sz w:val="20"/>
        </w:rPr>
        <w:t>the management company estimates an average quarterly bid-ask spread for the eurozone credit market; based on an</w:t>
      </w:r>
      <w:r>
        <w:rPr>
          <w:i/>
          <w:color w:val="231F20"/>
          <w:spacing w:val="-10"/>
          <w:sz w:val="20"/>
        </w:rPr>
        <w:t> </w:t>
      </w:r>
      <w:r>
        <w:rPr>
          <w:i/>
          <w:color w:val="231F20"/>
          <w:sz w:val="20"/>
        </w:rPr>
        <w:t>assumption</w:t>
      </w:r>
    </w:p>
    <w:p>
      <w:pPr>
        <w:spacing w:line="268" w:lineRule="auto" w:before="0"/>
        <w:ind w:left="935" w:right="759" w:hanging="1"/>
        <w:jc w:val="left"/>
        <w:rPr>
          <w:i/>
          <w:sz w:val="20"/>
        </w:rPr>
      </w:pPr>
      <w:r>
        <w:rPr>
          <w:i/>
          <w:color w:val="231F20"/>
          <w:sz w:val="20"/>
        </w:rPr>
        <w:t>of buying </w:t>
      </w:r>
      <w:r>
        <w:rPr>
          <w:color w:val="231F20"/>
          <w:sz w:val="20"/>
        </w:rPr>
        <w:t>/ </w:t>
      </w:r>
      <w:r>
        <w:rPr>
          <w:i/>
          <w:color w:val="231F20"/>
          <w:sz w:val="20"/>
        </w:rPr>
        <w:t>selling underlying securities in proportion to the benchmark.</w:t>
      </w:r>
    </w:p>
    <w:p>
      <w:pPr>
        <w:pStyle w:val="BodyText"/>
        <w:spacing w:before="6"/>
        <w:rPr>
          <w:i/>
          <w:sz w:val="19"/>
        </w:rPr>
      </w:pPr>
    </w:p>
    <w:p>
      <w:pPr>
        <w:pStyle w:val="Heading3"/>
      </w:pPr>
      <w:r>
        <w:rPr>
          <w:color w:val="CB4D2C"/>
        </w:rPr>
        <w:t>Readjustment cost</w:t>
      </w:r>
    </w:p>
    <w:p>
      <w:pPr>
        <w:spacing w:before="141"/>
        <w:ind w:left="1086" w:right="0" w:firstLine="0"/>
        <w:jc w:val="left"/>
        <w:rPr>
          <w:i/>
          <w:sz w:val="20"/>
        </w:rPr>
      </w:pPr>
      <w:r>
        <w:rPr/>
        <w:pict>
          <v:rect style="position:absolute;margin-left:63.778999pt;margin-top:11.541641pt;width:3.898pt;height:3.898pt;mso-position-horizontal-relative:page;mso-position-vertical-relative:paragraph;z-index:15770624" filled="true" fillcolor="#cb4d2c" stroked="false">
            <v:fill type="solid"/>
            <w10:wrap type="none"/>
          </v:rect>
        </w:pict>
      </w:r>
      <w:r>
        <w:rPr>
          <w:color w:val="231F20"/>
          <w:sz w:val="20"/>
        </w:rPr>
        <w:t>If </w:t>
      </w:r>
      <w:r>
        <w:rPr>
          <w:i/>
          <w:color w:val="CB4D2C"/>
          <w:sz w:val="20"/>
        </w:rPr>
        <w:t>S &gt; R : C = </w:t>
      </w:r>
      <w:r>
        <w:rPr>
          <w:i/>
          <w:color w:val="CB4D2C"/>
          <w:spacing w:val="-4"/>
          <w:sz w:val="20"/>
        </w:rPr>
        <w:t>NAV</w:t>
      </w:r>
      <w:r>
        <w:rPr>
          <w:i/>
          <w:color w:val="CB4D2C"/>
          <w:spacing w:val="-4"/>
          <w:position w:val="-6"/>
          <w:sz w:val="11"/>
        </w:rPr>
        <w:t>gross  </w:t>
      </w:r>
      <w:r>
        <w:rPr>
          <w:i/>
          <w:color w:val="CB4D2C"/>
          <w:sz w:val="20"/>
        </w:rPr>
        <w:t>* (S – R) * SPREAD /</w:t>
      </w:r>
      <w:r>
        <w:rPr>
          <w:i/>
          <w:color w:val="CB4D2C"/>
          <w:spacing w:val="2"/>
          <w:sz w:val="20"/>
        </w:rPr>
        <w:t> </w:t>
      </w:r>
      <w:r>
        <w:rPr>
          <w:i/>
          <w:color w:val="CB4D2C"/>
          <w:sz w:val="20"/>
        </w:rPr>
        <w:t>2</w:t>
      </w:r>
    </w:p>
    <w:p>
      <w:pPr>
        <w:spacing w:before="91"/>
        <w:ind w:left="1086" w:right="0" w:firstLine="0"/>
        <w:jc w:val="left"/>
        <w:rPr>
          <w:i/>
          <w:sz w:val="20"/>
        </w:rPr>
      </w:pPr>
      <w:r>
        <w:rPr/>
        <w:pict>
          <v:rect style="position:absolute;margin-left:63.778999pt;margin-top:9.041345pt;width:3.898pt;height:3.898pt;mso-position-horizontal-relative:page;mso-position-vertical-relative:paragraph;z-index:15771136" filled="true" fillcolor="#cb4d2c" stroked="false">
            <v:fill type="solid"/>
            <w10:wrap type="none"/>
          </v:rect>
        </w:pict>
      </w:r>
      <w:r>
        <w:rPr>
          <w:color w:val="231F20"/>
          <w:sz w:val="20"/>
        </w:rPr>
        <w:t>If </w:t>
      </w:r>
      <w:r>
        <w:rPr>
          <w:i/>
          <w:color w:val="CB4D2C"/>
          <w:sz w:val="20"/>
        </w:rPr>
        <w:t>S &lt; R : C = </w:t>
      </w:r>
      <w:r>
        <w:rPr>
          <w:i/>
          <w:color w:val="CB4D2C"/>
          <w:spacing w:val="-4"/>
          <w:sz w:val="20"/>
        </w:rPr>
        <w:t>NAV</w:t>
      </w:r>
      <w:r>
        <w:rPr>
          <w:i/>
          <w:color w:val="CB4D2C"/>
          <w:spacing w:val="-4"/>
          <w:position w:val="-6"/>
          <w:sz w:val="11"/>
        </w:rPr>
        <w:t>gross  </w:t>
      </w:r>
      <w:r>
        <w:rPr>
          <w:i/>
          <w:color w:val="CB4D2C"/>
          <w:sz w:val="20"/>
        </w:rPr>
        <w:t>* (R – S) * SPREAD /</w:t>
      </w:r>
      <w:r>
        <w:rPr>
          <w:i/>
          <w:color w:val="CB4D2C"/>
          <w:spacing w:val="2"/>
          <w:sz w:val="20"/>
        </w:rPr>
        <w:t> </w:t>
      </w:r>
      <w:r>
        <w:rPr>
          <w:i/>
          <w:color w:val="CB4D2C"/>
          <w:sz w:val="20"/>
        </w:rPr>
        <w:t>2</w:t>
      </w:r>
    </w:p>
    <w:p>
      <w:pPr>
        <w:pStyle w:val="BodyText"/>
        <w:spacing w:line="268" w:lineRule="auto" w:before="92"/>
        <w:ind w:left="935" w:right="243"/>
      </w:pPr>
      <w:r>
        <w:rPr>
          <w:color w:val="231F20"/>
        </w:rPr>
        <w:t>where </w:t>
      </w:r>
      <w:r>
        <w:rPr>
          <w:i/>
          <w:color w:val="CB4D2C"/>
        </w:rPr>
        <w:t>SPREAD </w:t>
      </w:r>
      <w:r>
        <w:rPr>
          <w:color w:val="231F20"/>
        </w:rPr>
        <w:t>represents the average bid-ask spread.</w:t>
      </w:r>
    </w:p>
    <w:p>
      <w:pPr>
        <w:pStyle w:val="BodyText"/>
        <w:spacing w:before="5"/>
        <w:rPr>
          <w:sz w:val="19"/>
        </w:rPr>
      </w:pPr>
    </w:p>
    <w:p>
      <w:pPr>
        <w:pStyle w:val="Heading3"/>
        <w:spacing w:before="1"/>
      </w:pPr>
      <w:r>
        <w:rPr>
          <w:color w:val="CB4D2C"/>
        </w:rPr>
        <w:t>Swung net asset value per share</w:t>
      </w:r>
    </w:p>
    <w:p>
      <w:pPr>
        <w:spacing w:before="141"/>
        <w:ind w:left="1086" w:right="0" w:firstLine="0"/>
        <w:jc w:val="left"/>
        <w:rPr>
          <w:i/>
          <w:sz w:val="20"/>
        </w:rPr>
      </w:pPr>
      <w:r>
        <w:rPr/>
        <w:pict>
          <v:rect style="position:absolute;margin-left:63.778999pt;margin-top:11.541251pt;width:3.898pt;height:3.898pt;mso-position-horizontal-relative:page;mso-position-vertical-relative:paragraph;z-index:15771648" filled="true" fillcolor="#cb4d2c" stroked="false">
            <v:fill type="solid"/>
            <w10:wrap type="none"/>
          </v:rect>
        </w:pict>
      </w:r>
      <w:r>
        <w:rPr>
          <w:color w:val="231F20"/>
          <w:sz w:val="20"/>
        </w:rPr>
        <w:t>If </w:t>
      </w:r>
      <w:r>
        <w:rPr>
          <w:i/>
          <w:color w:val="CB4D2C"/>
          <w:sz w:val="20"/>
        </w:rPr>
        <w:t>S &gt; R : </w:t>
      </w:r>
      <w:r>
        <w:rPr>
          <w:i/>
          <w:color w:val="CB4D2C"/>
          <w:spacing w:val="-4"/>
          <w:sz w:val="20"/>
        </w:rPr>
        <w:t>NAV</w:t>
      </w:r>
      <w:r>
        <w:rPr>
          <w:i/>
          <w:color w:val="CB4D2C"/>
          <w:spacing w:val="-4"/>
          <w:position w:val="-6"/>
          <w:sz w:val="11"/>
        </w:rPr>
        <w:t>swung  </w:t>
      </w:r>
      <w:r>
        <w:rPr>
          <w:i/>
          <w:color w:val="CB4D2C"/>
          <w:sz w:val="20"/>
        </w:rPr>
        <w:t>= </w:t>
      </w:r>
      <w:r>
        <w:rPr>
          <w:i/>
          <w:color w:val="CB4D2C"/>
          <w:spacing w:val="-4"/>
          <w:sz w:val="20"/>
        </w:rPr>
        <w:t>NAV</w:t>
      </w:r>
      <w:r>
        <w:rPr>
          <w:i/>
          <w:color w:val="CB4D2C"/>
          <w:spacing w:val="-4"/>
          <w:position w:val="-6"/>
          <w:sz w:val="11"/>
        </w:rPr>
        <w:t>gross  </w:t>
      </w:r>
      <w:r>
        <w:rPr>
          <w:i/>
          <w:color w:val="CB4D2C"/>
          <w:sz w:val="20"/>
        </w:rPr>
        <w:t>* (1 + SPREAD /</w:t>
      </w:r>
      <w:r>
        <w:rPr>
          <w:i/>
          <w:color w:val="CB4D2C"/>
          <w:spacing w:val="29"/>
          <w:sz w:val="20"/>
        </w:rPr>
        <w:t> </w:t>
      </w:r>
      <w:r>
        <w:rPr>
          <w:i/>
          <w:color w:val="CB4D2C"/>
          <w:sz w:val="20"/>
        </w:rPr>
        <w:t>2)</w:t>
      </w:r>
    </w:p>
    <w:p>
      <w:pPr>
        <w:spacing w:before="91"/>
        <w:ind w:left="1086" w:right="0" w:firstLine="0"/>
        <w:jc w:val="left"/>
        <w:rPr>
          <w:i/>
          <w:sz w:val="20"/>
        </w:rPr>
      </w:pPr>
      <w:r>
        <w:rPr/>
        <w:pict>
          <v:rect style="position:absolute;margin-left:63.778999pt;margin-top:9.041947pt;width:3.898pt;height:3.898pt;mso-position-horizontal-relative:page;mso-position-vertical-relative:paragraph;z-index:15772160" filled="true" fillcolor="#cb4d2c" stroked="false">
            <v:fill type="solid"/>
            <w10:wrap type="none"/>
          </v:rect>
        </w:pict>
      </w:r>
      <w:r>
        <w:rPr>
          <w:color w:val="231F20"/>
          <w:sz w:val="20"/>
        </w:rPr>
        <w:t>If </w:t>
      </w:r>
      <w:r>
        <w:rPr>
          <w:i/>
          <w:color w:val="CB4D2C"/>
          <w:sz w:val="20"/>
        </w:rPr>
        <w:t>S &lt; R : </w:t>
      </w:r>
      <w:r>
        <w:rPr>
          <w:i/>
          <w:color w:val="CB4D2C"/>
          <w:spacing w:val="-4"/>
          <w:sz w:val="20"/>
        </w:rPr>
        <w:t>NAV</w:t>
      </w:r>
      <w:r>
        <w:rPr>
          <w:i/>
          <w:color w:val="CB4D2C"/>
          <w:spacing w:val="-4"/>
          <w:position w:val="-6"/>
          <w:sz w:val="11"/>
        </w:rPr>
        <w:t>swung  </w:t>
      </w:r>
      <w:r>
        <w:rPr>
          <w:i/>
          <w:color w:val="CB4D2C"/>
          <w:sz w:val="20"/>
        </w:rPr>
        <w:t>= </w:t>
      </w:r>
      <w:r>
        <w:rPr>
          <w:i/>
          <w:color w:val="CB4D2C"/>
          <w:spacing w:val="-4"/>
          <w:sz w:val="20"/>
        </w:rPr>
        <w:t>NAV</w:t>
      </w:r>
      <w:r>
        <w:rPr>
          <w:i/>
          <w:color w:val="CB4D2C"/>
          <w:spacing w:val="-4"/>
          <w:position w:val="-6"/>
          <w:sz w:val="11"/>
        </w:rPr>
        <w:t>gross  </w:t>
      </w:r>
      <w:r>
        <w:rPr>
          <w:i/>
          <w:color w:val="CB4D2C"/>
          <w:sz w:val="20"/>
        </w:rPr>
        <w:t>* (1 – SPREAD /</w:t>
      </w:r>
      <w:r>
        <w:rPr>
          <w:i/>
          <w:color w:val="CB4D2C"/>
          <w:spacing w:val="29"/>
          <w:sz w:val="20"/>
        </w:rPr>
        <w:t> </w:t>
      </w:r>
      <w:r>
        <w:rPr>
          <w:i/>
          <w:color w:val="CB4D2C"/>
          <w:sz w:val="20"/>
        </w:rPr>
        <w:t>2)</w:t>
      </w:r>
    </w:p>
    <w:p>
      <w:pPr>
        <w:pStyle w:val="BodyText"/>
        <w:spacing w:line="268" w:lineRule="auto" w:before="91"/>
        <w:ind w:left="935"/>
      </w:pPr>
      <w:r>
        <w:rPr>
          <w:color w:val="231F20"/>
        </w:rPr>
        <w:t>This amounts to applying a swing factor of a</w:t>
      </w:r>
      <w:r>
        <w:rPr>
          <w:color w:val="231F20"/>
          <w:spacing w:val="-23"/>
        </w:rPr>
        <w:t> </w:t>
      </w:r>
      <w:r>
        <w:rPr>
          <w:color w:val="231F20"/>
        </w:rPr>
        <w:t>half spread.</w:t>
      </w:r>
    </w:p>
    <w:p>
      <w:pPr>
        <w:pStyle w:val="Heading2"/>
        <w:spacing w:before="58"/>
        <w:ind w:left="446"/>
        <w:rPr>
          <w:rFonts w:ascii="Arial"/>
        </w:rPr>
      </w:pPr>
      <w:r>
        <w:rPr/>
        <w:br w:type="column"/>
      </w:r>
      <w:r>
        <w:rPr>
          <w:rFonts w:ascii="Arial"/>
          <w:color w:val="CB4D2C"/>
          <w:w w:val="105"/>
        </w:rPr>
        <w:t>Example 4</w:t>
      </w:r>
    </w:p>
    <w:p>
      <w:pPr>
        <w:pStyle w:val="BodyText"/>
        <w:spacing w:before="5"/>
        <w:rPr>
          <w:rFonts w:ascii="Arial"/>
          <w:sz w:val="5"/>
        </w:rPr>
      </w:pPr>
    </w:p>
    <w:p>
      <w:pPr>
        <w:pStyle w:val="BodyText"/>
        <w:spacing w:line="20" w:lineRule="exact"/>
        <w:ind w:left="443"/>
        <w:rPr>
          <w:rFonts w:ascii="Arial"/>
          <w:sz w:val="2"/>
        </w:rPr>
      </w:pPr>
      <w:r>
        <w:rPr>
          <w:rFonts w:ascii="Arial"/>
          <w:sz w:val="2"/>
        </w:rPr>
        <w:pict>
          <v:group style="width:224.55pt;height:.25pt;mso-position-horizontal-relative:char;mso-position-vertical-relative:line" coordorigin="0,0" coordsize="4491,5">
            <v:line style="position:absolute" from="0,3" to="4490,3" stroked="true" strokeweight=".25pt" strokecolor="#cb4d2c">
              <v:stroke dashstyle="solid"/>
            </v:line>
          </v:group>
        </w:pict>
      </w:r>
      <w:r>
        <w:rPr>
          <w:rFonts w:ascii="Arial"/>
          <w:sz w:val="2"/>
        </w:rPr>
      </w:r>
    </w:p>
    <w:p>
      <w:pPr>
        <w:pStyle w:val="Heading3"/>
        <w:spacing w:before="109"/>
        <w:ind w:left="446"/>
      </w:pPr>
      <w:r>
        <w:rPr>
          <w:color w:val="CB4D2C"/>
        </w:rPr>
        <w:t>Assumptions</w:t>
      </w:r>
    </w:p>
    <w:p>
      <w:pPr>
        <w:spacing w:before="141"/>
        <w:ind w:left="446" w:right="0" w:firstLine="0"/>
        <w:jc w:val="left"/>
        <w:rPr>
          <w:i/>
          <w:sz w:val="20"/>
        </w:rPr>
      </w:pPr>
      <w:r>
        <w:rPr>
          <w:i/>
          <w:color w:val="CB4D2C"/>
          <w:sz w:val="20"/>
        </w:rPr>
        <w:t>FuND: </w:t>
      </w:r>
      <w:r>
        <w:rPr>
          <w:i/>
          <w:color w:val="231F20"/>
          <w:sz w:val="20"/>
        </w:rPr>
        <w:t>Bond fund.</w:t>
      </w:r>
    </w:p>
    <w:p>
      <w:pPr>
        <w:spacing w:line="268" w:lineRule="auto" w:before="85"/>
        <w:ind w:left="446" w:right="1113" w:firstLine="0"/>
        <w:jc w:val="left"/>
        <w:rPr>
          <w:i/>
          <w:sz w:val="20"/>
        </w:rPr>
      </w:pPr>
      <w:r>
        <w:rPr>
          <w:i/>
          <w:color w:val="CB4D2C"/>
          <w:sz w:val="20"/>
        </w:rPr>
        <w:t>Estimated cost: </w:t>
      </w:r>
      <w:r>
        <w:rPr>
          <w:i/>
          <w:color w:val="231F20"/>
          <w:sz w:val="20"/>
        </w:rPr>
        <w:t>Cost of liquidity only; measured on the basis of the</w:t>
      </w:r>
      <w:r>
        <w:rPr>
          <w:i/>
          <w:color w:val="231F20"/>
          <w:spacing w:val="-25"/>
          <w:sz w:val="20"/>
        </w:rPr>
        <w:t> </w:t>
      </w:r>
      <w:r>
        <w:rPr>
          <w:i/>
          <w:color w:val="231F20"/>
          <w:sz w:val="20"/>
        </w:rPr>
        <w:t>difference</w:t>
      </w:r>
    </w:p>
    <w:p>
      <w:pPr>
        <w:spacing w:line="268" w:lineRule="auto" w:before="0"/>
        <w:ind w:left="446" w:right="973" w:firstLine="0"/>
        <w:jc w:val="left"/>
        <w:rPr>
          <w:i/>
          <w:sz w:val="20"/>
        </w:rPr>
      </w:pPr>
      <w:r>
        <w:rPr>
          <w:i/>
          <w:color w:val="231F20"/>
          <w:sz w:val="20"/>
        </w:rPr>
        <w:t>between transaction prices and valuation prices; based on actual transactions carried</w:t>
      </w:r>
      <w:r>
        <w:rPr>
          <w:i/>
          <w:color w:val="231F20"/>
          <w:spacing w:val="-7"/>
          <w:sz w:val="20"/>
        </w:rPr>
        <w:t> </w:t>
      </w:r>
      <w:r>
        <w:rPr>
          <w:i/>
          <w:color w:val="231F20"/>
          <w:sz w:val="20"/>
        </w:rPr>
        <w:t>out</w:t>
      </w:r>
    </w:p>
    <w:p>
      <w:pPr>
        <w:spacing w:before="0"/>
        <w:ind w:left="446" w:right="0" w:firstLine="0"/>
        <w:jc w:val="left"/>
        <w:rPr>
          <w:i/>
          <w:sz w:val="20"/>
        </w:rPr>
      </w:pPr>
      <w:r>
        <w:rPr>
          <w:i/>
          <w:color w:val="231F20"/>
          <w:sz w:val="20"/>
        </w:rPr>
        <w:t>to readjust the fund.</w:t>
      </w:r>
    </w:p>
    <w:p>
      <w:pPr>
        <w:pStyle w:val="BodyText"/>
        <w:spacing w:before="10"/>
        <w:rPr>
          <w:i/>
          <w:sz w:val="21"/>
        </w:rPr>
      </w:pPr>
    </w:p>
    <w:p>
      <w:pPr>
        <w:pStyle w:val="Heading3"/>
        <w:ind w:left="446"/>
      </w:pPr>
      <w:r>
        <w:rPr>
          <w:color w:val="CB4D2C"/>
        </w:rPr>
        <w:t>Readjustment cost</w:t>
      </w:r>
    </w:p>
    <w:p>
      <w:pPr>
        <w:spacing w:before="141"/>
        <w:ind w:left="598" w:right="0" w:firstLine="0"/>
        <w:jc w:val="left"/>
        <w:rPr>
          <w:i/>
          <w:sz w:val="20"/>
        </w:rPr>
      </w:pPr>
      <w:r>
        <w:rPr/>
        <w:pict>
          <v:rect style="position:absolute;margin-left:306.990997pt;margin-top:11.541349pt;width:3.898pt;height:3.898pt;mso-position-horizontal-relative:page;mso-position-vertical-relative:paragraph;z-index:15774720" filled="true" fillcolor="#cb4d2c" stroked="false">
            <v:fill type="solid"/>
            <w10:wrap type="none"/>
          </v:rect>
        </w:pict>
      </w:r>
      <w:r>
        <w:rPr>
          <w:color w:val="231F20"/>
          <w:sz w:val="20"/>
        </w:rPr>
        <w:t>If </w:t>
      </w:r>
      <w:r>
        <w:rPr>
          <w:i/>
          <w:color w:val="CB4D2C"/>
          <w:sz w:val="20"/>
        </w:rPr>
        <w:t>S &gt; R : C =</w:t>
      </w:r>
    </w:p>
    <w:p>
      <w:pPr>
        <w:spacing w:before="28"/>
        <w:ind w:left="598" w:right="0" w:firstLine="0"/>
        <w:jc w:val="left"/>
        <w:rPr>
          <w:i/>
          <w:sz w:val="20"/>
        </w:rPr>
      </w:pPr>
      <w:r>
        <w:rPr>
          <w:i/>
          <w:color w:val="CB4D2C"/>
          <w:sz w:val="20"/>
        </w:rPr>
        <w:t>Σ QuANTITy</w:t>
      </w:r>
      <w:r>
        <w:rPr>
          <w:i/>
          <w:color w:val="CB4D2C"/>
          <w:position w:val="-6"/>
          <w:sz w:val="11"/>
        </w:rPr>
        <w:t>i </w:t>
      </w:r>
      <w:r>
        <w:rPr>
          <w:i/>
          <w:color w:val="CB4D2C"/>
          <w:sz w:val="20"/>
        </w:rPr>
        <w:t>* (TRANSACTION</w:t>
      </w:r>
      <w:r>
        <w:rPr>
          <w:i/>
          <w:color w:val="CB4D2C"/>
          <w:position w:val="-6"/>
          <w:sz w:val="11"/>
        </w:rPr>
        <w:t>i </w:t>
      </w:r>
      <w:r>
        <w:rPr>
          <w:i/>
          <w:color w:val="CB4D2C"/>
          <w:sz w:val="20"/>
        </w:rPr>
        <w:t>– VALuATION)</w:t>
      </w:r>
    </w:p>
    <w:p>
      <w:pPr>
        <w:spacing w:before="91"/>
        <w:ind w:left="598" w:right="0" w:firstLine="0"/>
        <w:jc w:val="left"/>
        <w:rPr>
          <w:i/>
          <w:sz w:val="20"/>
        </w:rPr>
      </w:pPr>
      <w:r>
        <w:rPr/>
        <w:pict>
          <v:rect style="position:absolute;margin-left:306.990997pt;margin-top:9.041145pt;width:3.898pt;height:3.898pt;mso-position-horizontal-relative:page;mso-position-vertical-relative:paragraph;z-index:15775232" filled="true" fillcolor="#cb4d2c" stroked="false">
            <v:fill type="solid"/>
            <w10:wrap type="none"/>
          </v:rect>
        </w:pict>
      </w:r>
      <w:r>
        <w:rPr>
          <w:color w:val="231F20"/>
          <w:sz w:val="20"/>
        </w:rPr>
        <w:t>If </w:t>
      </w:r>
      <w:r>
        <w:rPr>
          <w:i/>
          <w:color w:val="CB4D2C"/>
          <w:sz w:val="20"/>
        </w:rPr>
        <w:t>S &lt; R : C =</w:t>
      </w:r>
    </w:p>
    <w:p>
      <w:pPr>
        <w:spacing w:before="28"/>
        <w:ind w:left="598" w:right="0" w:firstLine="0"/>
        <w:jc w:val="left"/>
        <w:rPr>
          <w:i/>
          <w:sz w:val="20"/>
        </w:rPr>
      </w:pPr>
      <w:r>
        <w:rPr>
          <w:i/>
          <w:color w:val="CB4D2C"/>
          <w:sz w:val="20"/>
        </w:rPr>
        <w:t>Σ QuANTITy</w:t>
      </w:r>
      <w:r>
        <w:rPr>
          <w:i/>
          <w:color w:val="CB4D2C"/>
          <w:position w:val="-6"/>
          <w:sz w:val="11"/>
        </w:rPr>
        <w:t>i </w:t>
      </w:r>
      <w:r>
        <w:rPr>
          <w:i/>
          <w:color w:val="CB4D2C"/>
          <w:sz w:val="20"/>
        </w:rPr>
        <w:t>* (VALuATION – TRANSACTION</w:t>
      </w:r>
      <w:r>
        <w:rPr>
          <w:i/>
          <w:color w:val="CB4D2C"/>
          <w:position w:val="-6"/>
          <w:sz w:val="11"/>
        </w:rPr>
        <w:t>i</w:t>
      </w:r>
      <w:r>
        <w:rPr>
          <w:i/>
          <w:color w:val="CB4D2C"/>
          <w:sz w:val="20"/>
        </w:rPr>
        <w:t>)</w:t>
      </w:r>
    </w:p>
    <w:p>
      <w:pPr>
        <w:spacing w:line="271" w:lineRule="exact" w:before="91"/>
        <w:ind w:left="446" w:right="0" w:firstLine="0"/>
        <w:jc w:val="left"/>
        <w:rPr>
          <w:i/>
          <w:sz w:val="11"/>
        </w:rPr>
      </w:pPr>
      <w:r>
        <w:rPr>
          <w:color w:val="231F20"/>
          <w:sz w:val="20"/>
        </w:rPr>
        <w:t>where </w:t>
      </w:r>
      <w:r>
        <w:rPr>
          <w:i/>
          <w:color w:val="CB4D2C"/>
          <w:sz w:val="20"/>
        </w:rPr>
        <w:t>QuANTITy</w:t>
      </w:r>
      <w:r>
        <w:rPr>
          <w:i/>
          <w:color w:val="CB4D2C"/>
          <w:position w:val="-6"/>
          <w:sz w:val="11"/>
        </w:rPr>
        <w:t>i</w:t>
      </w:r>
      <w:r>
        <w:rPr>
          <w:color w:val="231F20"/>
          <w:sz w:val="20"/>
        </w:rPr>
        <w:t>, </w:t>
      </w:r>
      <w:r>
        <w:rPr>
          <w:i/>
          <w:color w:val="CB4D2C"/>
          <w:sz w:val="20"/>
        </w:rPr>
        <w:t>VALuATION </w:t>
      </w:r>
      <w:r>
        <w:rPr>
          <w:color w:val="231F20"/>
          <w:sz w:val="20"/>
        </w:rPr>
        <w:t>and </w:t>
      </w:r>
      <w:r>
        <w:rPr>
          <w:i/>
          <w:color w:val="CB4D2C"/>
          <w:sz w:val="20"/>
        </w:rPr>
        <w:t>TRANSACTION</w:t>
      </w:r>
      <w:r>
        <w:rPr>
          <w:i/>
          <w:color w:val="CB4D2C"/>
          <w:position w:val="-6"/>
          <w:sz w:val="11"/>
        </w:rPr>
        <w:t>i</w:t>
      </w:r>
    </w:p>
    <w:p>
      <w:pPr>
        <w:pStyle w:val="BodyText"/>
        <w:spacing w:line="268" w:lineRule="auto"/>
        <w:ind w:left="446" w:right="2255"/>
      </w:pPr>
      <w:r>
        <w:rPr>
          <w:color w:val="231F20"/>
        </w:rPr>
        <w:t>relate to securities actually traded so as to readjust the fund.</w:t>
      </w:r>
    </w:p>
    <w:p>
      <w:pPr>
        <w:spacing w:after="0" w:line="268" w:lineRule="auto"/>
        <w:sectPr>
          <w:type w:val="continuous"/>
          <w:pgSz w:w="11910" w:h="16840"/>
          <w:pgMar w:top="1580" w:bottom="280" w:left="340" w:right="360"/>
          <w:cols w:num="2" w:equalWidth="0">
            <w:col w:w="5314" w:space="40"/>
            <w:col w:w="5856"/>
          </w:cols>
        </w:sectPr>
      </w:pPr>
    </w:p>
    <w:p>
      <w:pPr>
        <w:spacing w:before="64"/>
        <w:ind w:left="0" w:right="106" w:firstLine="0"/>
        <w:jc w:val="right"/>
        <w:rPr>
          <w:rFonts w:ascii="Arial" w:hAnsi="Arial"/>
          <w:sz w:val="14"/>
        </w:rPr>
      </w:pPr>
      <w:r>
        <w:rPr/>
        <w:pict>
          <v:group style="position:absolute;margin-left:756.350098pt;margin-top:41.491341pt;width:1pt;height:467.75pt;mso-position-horizontal-relative:page;mso-position-vertical-relative:paragraph;z-index:15776256" coordorigin="15127,830" coordsize="20,9355">
            <v:line style="position:absolute" from="15137,880" to="15137,10154" stroked="true" strokeweight="1pt" strokecolor="#f58667">
              <v:stroke dashstyle="dot"/>
            </v:line>
            <v:shape style="position:absolute;left:15137;top:839;width:2;height:9335" coordorigin="15137,840" coordsize="0,9335" path="m15137,840l15137,840m15137,10174l15137,10174e" filled="false" stroked="true" strokeweight="1pt" strokecolor="#f58667">
              <v:path arrowok="t"/>
              <v:stroke dashstyle="solid"/>
            </v:shape>
            <w10:wrap type="none"/>
          </v:group>
        </w:pict>
      </w:r>
      <w:r>
        <w:rPr/>
        <w:pict>
          <v:group style="position:absolute;margin-left:500.231903pt;margin-top:41.491341pt;width:1pt;height:467.75pt;mso-position-horizontal-relative:page;mso-position-vertical-relative:paragraph;z-index:15776768" coordorigin="10005,830" coordsize="20,9355">
            <v:line style="position:absolute" from="10015,880" to="10015,10154" stroked="true" strokeweight="1pt" strokecolor="#f58667">
              <v:stroke dashstyle="dot"/>
            </v:line>
            <v:shape style="position:absolute;left:10014;top:839;width:2;height:9335" coordorigin="10015,840" coordsize="0,9335" path="m10015,840l10015,840m10015,10174l10015,10174e" filled="false" stroked="true" strokeweight="1pt" strokecolor="#f58667">
              <v:path arrowok="t"/>
              <v:stroke dashstyle="solid"/>
            </v:shape>
            <w10:wrap type="none"/>
          </v:group>
        </w:pict>
      </w:r>
      <w:r>
        <w:rPr/>
        <w:pict>
          <v:group style="position:absolute;margin-left:244.114304pt;margin-top:41.491341pt;width:1pt;height:467.75pt;mso-position-horizontal-relative:page;mso-position-vertical-relative:paragraph;z-index:15777280" coordorigin="4882,830" coordsize="20,9355">
            <v:line style="position:absolute" from="4892,880" to="4892,10154" stroked="true" strokeweight="1pt" strokecolor="#f58667">
              <v:stroke dashstyle="dot"/>
            </v:line>
            <v:shape style="position:absolute;left:4892;top:839;width:2;height:9335" coordorigin="4892,840" coordsize="0,9335" path="m4892,840l4892,840m4892,10174l4892,10174e" filled="false" stroked="true" strokeweight="1pt" strokecolor="#f58667">
              <v:path arrowok="t"/>
              <v:stroke dashstyle="solid"/>
            </v:shape>
            <w10:wrap type="none"/>
          </v:group>
        </w:pict>
      </w:r>
      <w:r>
        <w:rPr/>
        <w:pict>
          <v:group style="position:absolute;margin-left:713.830627pt;margin-top:41.491341pt;width:1pt;height:467.75pt;mso-position-horizontal-relative:page;mso-position-vertical-relative:paragraph;z-index:15777792" coordorigin="14277,830" coordsize="20,9355">
            <v:line style="position:absolute" from="14287,880" to="14287,10154" stroked="true" strokeweight="1pt" strokecolor="#f58667">
              <v:stroke dashstyle="dot"/>
            </v:line>
            <v:shape style="position:absolute;left:14286;top:839;width:2;height:9335" coordorigin="14287,840" coordsize="0,9335" path="m14287,840l14287,840m14287,10174l14287,10174e" filled="false" stroked="true" strokeweight="1pt" strokecolor="#f58667">
              <v:path arrowok="t"/>
              <v:stroke dashstyle="solid"/>
            </v:shape>
            <w10:wrap type="none"/>
          </v:group>
        </w:pict>
      </w:r>
      <w:r>
        <w:rPr/>
        <w:pict>
          <v:group style="position:absolute;margin-left:457.712402pt;margin-top:41.491341pt;width:1pt;height:467.75pt;mso-position-horizontal-relative:page;mso-position-vertical-relative:paragraph;z-index:15778304" coordorigin="9154,830" coordsize="20,9355">
            <v:line style="position:absolute" from="9164,880" to="9164,10154" stroked="true" strokeweight="1pt" strokecolor="#f58667">
              <v:stroke dashstyle="dot"/>
            </v:line>
            <v:shape style="position:absolute;left:9164;top:839;width:2;height:9335" coordorigin="9164,840" coordsize="0,9335" path="m9164,840l9164,840m9164,10174l9164,10174e" filled="false" stroked="true" strokeweight="1pt" strokecolor="#f58667">
              <v:path arrowok="t"/>
              <v:stroke dashstyle="solid"/>
            </v:shape>
            <w10:wrap type="none"/>
          </v:group>
        </w:pict>
      </w:r>
      <w:r>
        <w:rPr/>
        <w:pict>
          <v:group style="position:absolute;margin-left:201.594193pt;margin-top:41.491341pt;width:1pt;height:467.75pt;mso-position-horizontal-relative:page;mso-position-vertical-relative:paragraph;z-index:15778816" coordorigin="4032,830" coordsize="20,9355">
            <v:line style="position:absolute" from="4042,880" to="4042,10154" stroked="true" strokeweight="1pt" strokecolor="#f58667">
              <v:stroke dashstyle="dot"/>
            </v:line>
            <v:shape style="position:absolute;left:4041;top:839;width:2;height:9335" coordorigin="4042,840" coordsize="0,9335" path="m4042,840l4042,840m4042,10174l4042,10174e" filled="false" stroked="true" strokeweight="1pt" strokecolor="#f58667">
              <v:path arrowok="t"/>
              <v:stroke dashstyle="solid"/>
            </v:shape>
            <w10:wrap type="none"/>
          </v:group>
        </w:pict>
      </w:r>
      <w:r>
        <w:rPr/>
        <w:pict>
          <v:group style="position:absolute;margin-left:671.310974pt;margin-top:41.491341pt;width:1pt;height:467.75pt;mso-position-horizontal-relative:page;mso-position-vertical-relative:paragraph;z-index:15779328" coordorigin="13426,830" coordsize="20,9355">
            <v:line style="position:absolute" from="13436,880" to="13436,10154" stroked="true" strokeweight="1pt" strokecolor="#f58667">
              <v:stroke dashstyle="dot"/>
            </v:line>
            <v:shape style="position:absolute;left:13436;top:839;width:2;height:9335" coordorigin="13436,840" coordsize="0,9335" path="m13436,840l13436,840m13436,10174l13436,10174e" filled="false" stroked="true" strokeweight="1pt" strokecolor="#f58667">
              <v:path arrowok="t"/>
              <v:stroke dashstyle="solid"/>
            </v:shape>
            <w10:wrap type="none"/>
          </v:group>
        </w:pict>
      </w:r>
      <w:r>
        <w:rPr/>
        <w:pict>
          <v:group style="position:absolute;margin-left:415.192902pt;margin-top:41.491341pt;width:1pt;height:467.75pt;mso-position-horizontal-relative:page;mso-position-vertical-relative:paragraph;z-index:15779840" coordorigin="8304,830" coordsize="20,9355">
            <v:line style="position:absolute" from="8314,880" to="8314,10154" stroked="true" strokeweight="1pt" strokecolor="#f58667">
              <v:stroke dashstyle="dot"/>
            </v:line>
            <v:shape style="position:absolute;left:8313;top:839;width:2;height:9335" coordorigin="8314,840" coordsize="0,9335" path="m8314,840l8314,840m8314,10174l8314,10174e" filled="false" stroked="true" strokeweight="1pt" strokecolor="#f58667">
              <v:path arrowok="t"/>
              <v:stroke dashstyle="solid"/>
            </v:shape>
            <w10:wrap type="none"/>
          </v:group>
        </w:pict>
      </w:r>
      <w:r>
        <w:rPr/>
        <w:pict>
          <v:group style="position:absolute;margin-left:159.074707pt;margin-top:41.491341pt;width:1pt;height:467.75pt;mso-position-horizontal-relative:page;mso-position-vertical-relative:paragraph;z-index:15780352" coordorigin="3181,830" coordsize="20,9355">
            <v:line style="position:absolute" from="3191,880" to="3191,10154" stroked="true" strokeweight="1pt" strokecolor="#f58667">
              <v:stroke dashstyle="dot"/>
            </v:line>
            <v:shape style="position:absolute;left:3191;top:839;width:2;height:9335" coordorigin="3191,840" coordsize="0,9335" path="m3191,840l3191,840m3191,10174l3191,10174e" filled="false" stroked="true" strokeweight="1pt" strokecolor="#f58667">
              <v:path arrowok="t"/>
              <v:stroke dashstyle="solid"/>
            </v:shape>
            <w10:wrap type="none"/>
          </v:group>
        </w:pict>
      </w:r>
      <w:r>
        <w:rPr/>
        <w:pict>
          <v:group style="position:absolute;margin-left:628.791016pt;margin-top:41.491341pt;width:1pt;height:467.75pt;mso-position-horizontal-relative:page;mso-position-vertical-relative:paragraph;z-index:15780864" coordorigin="12576,830" coordsize="20,9355">
            <v:line style="position:absolute" from="12586,880" to="12586,10154" stroked="true" strokeweight="1pt" strokecolor="#f58667">
              <v:stroke dashstyle="dot"/>
            </v:line>
            <v:shape style="position:absolute;left:12585;top:839;width:2;height:9335" coordorigin="12586,840" coordsize="0,9335" path="m12586,840l12586,840m12586,10174l12586,10174e" filled="false" stroked="true" strokeweight="1pt" strokecolor="#f58667">
              <v:path arrowok="t"/>
              <v:stroke dashstyle="solid"/>
            </v:shape>
            <w10:wrap type="none"/>
          </v:group>
        </w:pict>
      </w:r>
      <w:r>
        <w:rPr/>
        <w:pict>
          <v:group style="position:absolute;margin-left:372.672913pt;margin-top:41.491341pt;width:1pt;height:467.75pt;mso-position-horizontal-relative:page;mso-position-vertical-relative:paragraph;z-index:15781376" coordorigin="7453,830" coordsize="20,9355">
            <v:line style="position:absolute" from="7463,880" to="7463,10154" stroked="true" strokeweight="1pt" strokecolor="#f58667">
              <v:stroke dashstyle="dot"/>
            </v:line>
            <v:shape style="position:absolute;left:7463;top:839;width:2;height:9335" coordorigin="7463,840" coordsize="0,9335" path="m7463,840l7463,840m7463,10174l7463,10174e" filled="false" stroked="true" strokeweight="1pt" strokecolor="#f58667">
              <v:path arrowok="t"/>
              <v:stroke dashstyle="solid"/>
            </v:shape>
            <w10:wrap type="none"/>
          </v:group>
        </w:pict>
      </w:r>
      <w:r>
        <w:rPr/>
        <w:pict>
          <v:group style="position:absolute;margin-left:116.555199pt;margin-top:41.491341pt;width:1pt;height:467.75pt;mso-position-horizontal-relative:page;mso-position-vertical-relative:paragraph;z-index:15781888" coordorigin="2331,830" coordsize="20,9355">
            <v:line style="position:absolute" from="2341,880" to="2341,10154" stroked="true" strokeweight="1pt" strokecolor="#f58667">
              <v:stroke dashstyle="dot"/>
            </v:line>
            <v:shape style="position:absolute;left:2341;top:839;width:2;height:9335" coordorigin="2341,840" coordsize="0,9335" path="m2341,840l2341,840m2341,10174l2341,10174e" filled="false" stroked="true" strokeweight="1pt" strokecolor="#f58667">
              <v:path arrowok="t"/>
              <v:stroke dashstyle="solid"/>
            </v:shape>
            <w10:wrap type="none"/>
          </v:group>
        </w:pict>
      </w:r>
      <w:r>
        <w:rPr/>
        <w:pict>
          <v:group style="position:absolute;margin-left:586.271484pt;margin-top:41.491341pt;width:1pt;height:467.75pt;mso-position-horizontal-relative:page;mso-position-vertical-relative:paragraph;z-index:15782400" coordorigin="11725,830" coordsize="20,9355">
            <v:line style="position:absolute" from="11735,880" to="11735,10154" stroked="true" strokeweight="1pt" strokecolor="#f58667">
              <v:stroke dashstyle="dot"/>
            </v:line>
            <v:shape style="position:absolute;left:11735;top:839;width:2;height:9335" coordorigin="11735,840" coordsize="0,9335" path="m11735,840l11735,840m11735,10174l11735,10174e" filled="false" stroked="true" strokeweight="1pt" strokecolor="#f58667">
              <v:path arrowok="t"/>
              <v:stroke dashstyle="solid"/>
            </v:shape>
            <w10:wrap type="none"/>
          </v:group>
        </w:pict>
      </w:r>
      <w:r>
        <w:rPr/>
        <w:pict>
          <v:group style="position:absolute;margin-left:330.153290pt;margin-top:41.491341pt;width:1pt;height:467.75pt;mso-position-horizontal-relative:page;mso-position-vertical-relative:paragraph;z-index:15782912" coordorigin="6603,830" coordsize="20,9355">
            <v:line style="position:absolute" from="6613,880" to="6613,10154" stroked="true" strokeweight="1pt" strokecolor="#f58667">
              <v:stroke dashstyle="dot"/>
            </v:line>
            <v:shape style="position:absolute;left:6613;top:839;width:2;height:9335" coordorigin="6613,840" coordsize="0,9335" path="m6613,840l6613,840m6613,10174l6613,10174e" filled="false" stroked="true" strokeweight="1pt" strokecolor="#f58667">
              <v:path arrowok="t"/>
              <v:stroke dashstyle="solid"/>
            </v:shape>
            <w10:wrap type="none"/>
          </v:group>
        </w:pict>
      </w:r>
      <w:r>
        <w:rPr/>
        <w:pict>
          <v:group style="position:absolute;margin-left:74.035202pt;margin-top:63.779499pt;width:1pt;height:467.75pt;mso-position-horizontal-relative:page;mso-position-vertical-relative:page;z-index:15783424" coordorigin="1481,1276" coordsize="20,9355">
            <v:line style="position:absolute" from="1491,1326" to="1491,10600" stroked="true" strokeweight="1pt" strokecolor="#f58667">
              <v:stroke dashstyle="dot"/>
            </v:line>
            <v:shape style="position:absolute;left:1490;top:1285;width:2;height:9335" coordorigin="1491,1286" coordsize="0,9335" path="m1491,1286l1491,1286m1491,10620l1491,10620e" filled="false" stroked="true" strokeweight="1pt" strokecolor="#f58667">
              <v:path arrowok="t"/>
              <v:stroke dashstyle="solid"/>
            </v:shape>
            <w10:wrap type="none"/>
          </v:group>
        </w:pict>
      </w:r>
      <w:r>
        <w:rPr/>
        <w:pict>
          <v:group style="position:absolute;margin-left:543.752014pt;margin-top:41.491341pt;width:1pt;height:467.75pt;mso-position-horizontal-relative:page;mso-position-vertical-relative:paragraph;z-index:15783936" coordorigin="10875,830" coordsize="20,9355">
            <v:line style="position:absolute" from="10885,880" to="10885,10154" stroked="true" strokeweight="1pt" strokecolor="#f58667">
              <v:stroke dashstyle="dot"/>
            </v:line>
            <v:shape style="position:absolute;left:10885;top:839;width:2;height:9335" coordorigin="10885,840" coordsize="0,9335" path="m10885,840l10885,840m10885,10174l10885,10174e" filled="false" stroked="true" strokeweight="1pt" strokecolor="#f58667">
              <v:path arrowok="t"/>
              <v:stroke dashstyle="solid"/>
            </v:shape>
            <w10:wrap type="none"/>
          </v:group>
        </w:pict>
      </w:r>
      <w:r>
        <w:rPr/>
        <w:pict>
          <v:group style="position:absolute;margin-left:287.633789pt;margin-top:41.491341pt;width:1pt;height:467.75pt;mso-position-horizontal-relative:page;mso-position-vertical-relative:paragraph;z-index:15784448" coordorigin="5753,830" coordsize="20,9355">
            <v:line style="position:absolute" from="5763,880" to="5763,10154" stroked="true" strokeweight="1pt" strokecolor="#f58667">
              <v:stroke dashstyle="dot"/>
            </v:line>
            <v:shape style="position:absolute;left:5762;top:839;width:2;height:9335" coordorigin="5763,840" coordsize="0,9335" path="m5763,840l5763,840m5763,10174l5763,10174e" filled="false" stroked="true" strokeweight="1pt" strokecolor="#f58667">
              <v:path arrowok="t"/>
              <v:stroke dashstyle="solid"/>
            </v:shape>
            <w10:wrap type="none"/>
          </v:group>
        </w:pict>
      </w:r>
      <w:r>
        <w:rPr/>
        <w:pict>
          <v:shape style="position:absolute;margin-left:805.576721pt;margin-top:21.677pt;width:13.1pt;height:16.2pt;mso-position-horizontal-relative:page;mso-position-vertical-relative:page;z-index:15784960" type="#_x0000_t202" filled="false" stroked="false">
            <v:textbox inset="0,0,0,0" style="layout-flow:vertical">
              <w:txbxContent>
                <w:p>
                  <w:pPr>
                    <w:pStyle w:val="BodyText"/>
                    <w:spacing w:before="10"/>
                    <w:ind w:left="20"/>
                    <w:rPr>
                      <w:rFonts w:ascii="Arial"/>
                    </w:rPr>
                  </w:pPr>
                  <w:r>
                    <w:rPr>
                      <w:rFonts w:ascii="Arial"/>
                      <w:color w:val="FFFFFF"/>
                      <w:w w:val="96"/>
                      <w:shd w:fill="CB4D2C" w:color="auto" w:val="clear"/>
                    </w:rPr>
                    <w:t> </w:t>
                  </w:r>
                  <w:r>
                    <w:rPr>
                      <w:rFonts w:ascii="Arial"/>
                      <w:color w:val="FFFFFF"/>
                      <w:shd w:fill="CB4D2C" w:color="auto" w:val="clear"/>
                    </w:rPr>
                    <w:t> 8 </w:t>
                  </w:r>
                </w:p>
              </w:txbxContent>
            </v:textbox>
            <w10:wrap type="none"/>
          </v:shape>
        </w:pict>
      </w:r>
      <w:r>
        <w:rPr/>
        <w:pict>
          <v:shape style="position:absolute;margin-left:805.576721pt;margin-top:62.779999pt;width:13.1pt;height:469.75pt;mso-position-horizontal-relative:page;mso-position-vertical-relative:page;z-index:15785472" type="#_x0000_t202" filled="false" stroked="false">
            <v:textbox inset="0,0,0,0" style="layout-flow:vertical">
              <w:txbxContent>
                <w:p>
                  <w:pPr>
                    <w:pStyle w:val="BodyText"/>
                    <w:tabs>
                      <w:tab w:pos="9374" w:val="left" w:leader="none"/>
                    </w:tabs>
                    <w:spacing w:before="10"/>
                    <w:ind w:left="20"/>
                    <w:rPr>
                      <w:rFonts w:ascii="Arial"/>
                    </w:rPr>
                  </w:pPr>
                  <w:r>
                    <w:rPr>
                      <w:rFonts w:ascii="Arial"/>
                      <w:color w:val="FFFFFF"/>
                      <w:spacing w:val="5"/>
                      <w:w w:val="96"/>
                      <w:shd w:fill="CB4D2C" w:color="auto" w:val="clear"/>
                    </w:rPr>
                    <w:t> </w:t>
                  </w:r>
                  <w:r>
                    <w:rPr>
                      <w:rFonts w:ascii="Arial"/>
                      <w:color w:val="FFFFFF"/>
                      <w:shd w:fill="CB4D2C" w:color="auto" w:val="clear"/>
                    </w:rPr>
                    <w:t>NOTES</w:t>
                    <w:tab/>
                  </w:r>
                </w:p>
              </w:txbxContent>
            </v:textbox>
            <w10:wrap type="none"/>
          </v:shape>
        </w:pict>
      </w:r>
      <w:r>
        <w:rPr>
          <w:rFonts w:ascii="Arial" w:hAnsi="Arial"/>
          <w:color w:val="CB4D2C"/>
          <w:w w:val="105"/>
          <w:sz w:val="14"/>
        </w:rPr>
        <w:t>AFG – NOVEMBER 2020</w:t>
      </w:r>
    </w:p>
    <w:p>
      <w:pPr>
        <w:spacing w:after="0"/>
        <w:jc w:val="right"/>
        <w:rPr>
          <w:rFonts w:ascii="Arial" w:hAnsi="Arial"/>
          <w:sz w:val="14"/>
        </w:rPr>
        <w:sectPr>
          <w:pgSz w:w="16840" w:h="11910" w:orient="landscape"/>
          <w:pgMar w:top="440" w:bottom="280" w:left="2420" w:right="740"/>
        </w:sectPr>
      </w:pPr>
    </w:p>
    <w:p>
      <w:pPr>
        <w:pStyle w:val="BodyText"/>
        <w:spacing w:before="4"/>
        <w:rPr>
          <w:rFonts w:ascii="Arial"/>
          <w:sz w:val="17"/>
        </w:rPr>
      </w:pPr>
    </w:p>
    <w:p>
      <w:pPr>
        <w:spacing w:after="0"/>
        <w:rPr>
          <w:rFonts w:ascii="Arial"/>
          <w:sz w:val="17"/>
        </w:rPr>
        <w:sectPr>
          <w:pgSz w:w="11910" w:h="16840"/>
          <w:pgMar w:top="1580" w:bottom="280" w:left="680" w:right="700"/>
        </w:sectPr>
      </w:pPr>
    </w:p>
    <w:p>
      <w:pPr>
        <w:pStyle w:val="BodyText"/>
        <w:rPr>
          <w:rFonts w:ascii="Arial"/>
        </w:rPr>
      </w:pPr>
      <w:r>
        <w:rPr/>
        <w:pict>
          <v:rect style="position:absolute;margin-left:0pt;margin-top:.000015pt;width:595.275pt;height:841.89pt;mso-position-horizontal-relative:page;mso-position-vertical-relative:page;z-index:-16052224" filled="true" fillcolor="#ba2025" stroked="false">
            <v:fill type="solid"/>
            <w10:wrap type="none"/>
          </v:rect>
        </w:pict>
      </w:r>
      <w:r>
        <w:rPr/>
        <w:pict>
          <v:shape style="position:absolute;margin-left:570.387634pt;margin-top:432.988831pt;width:9pt;height:76.850pt;mso-position-horizontal-relative:page;mso-position-vertical-relative:page;z-index:15787008" type="#_x0000_t202" filled="false" stroked="false">
            <v:textbox inset="0,0,0,0" style="layout-flow:vertical;mso-layout-flow-alt:bottom-to-top">
              <w:txbxContent>
                <w:p>
                  <w:pPr>
                    <w:spacing w:before="20"/>
                    <w:ind w:left="20" w:right="0" w:firstLine="0"/>
                    <w:jc w:val="left"/>
                    <w:rPr>
                      <w:sz w:val="12"/>
                    </w:rPr>
                  </w:pPr>
                  <w:r>
                    <w:rPr>
                      <w:color w:val="FFFFFF"/>
                      <w:sz w:val="12"/>
                    </w:rPr>
                    <w:t>© </w:t>
                  </w:r>
                  <w:hyperlink r:id="rId7">
                    <w:r>
                      <w:rPr>
                        <w:color w:val="FFFFFF"/>
                        <w:sz w:val="12"/>
                      </w:rPr>
                      <w:t>www.stephaniedargent.fr</w:t>
                    </w:r>
                  </w:hyperlink>
                </w:p>
              </w:txbxContent>
            </v:textbox>
            <w10:wrap type="none"/>
          </v:shape>
        </w:pic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4"/>
        <w:rPr>
          <w:rFonts w:ascii="Arial"/>
          <w:sz w:val="17"/>
        </w:rPr>
      </w:pPr>
    </w:p>
    <w:p>
      <w:pPr>
        <w:spacing w:line="276" w:lineRule="auto" w:before="101"/>
        <w:ind w:left="2163" w:right="1497" w:firstLine="752"/>
        <w:jc w:val="left"/>
        <w:rPr>
          <w:b/>
          <w:sz w:val="24"/>
        </w:rPr>
      </w:pPr>
      <w:r>
        <w:rPr/>
        <w:pict>
          <v:group style="position:absolute;margin-left:73.263901pt;margin-top:-69.787544pt;width:448.3pt;height:448.3pt;mso-position-horizontal-relative:page;mso-position-vertical-relative:paragraph;z-index:-16051712" coordorigin="1465,-1396" coordsize="8966,8966">
            <v:shape style="position:absolute;left:1465;top:3086;width:4483;height:4483" coordorigin="1465,3087" coordsize="4483,4483" path="m5948,3087l1465,3087,1466,3163,1468,3239,1471,3315,1475,3391,1481,3466,1488,3541,1496,3615,1505,3689,1516,3763,1528,3836,1540,3909,1555,3981,1570,4053,1586,4125,1604,4196,1622,4267,1642,4337,1663,4407,1685,4476,1708,4545,1732,4613,1757,4681,1783,4748,1811,4815,1839,4881,1868,4947,1899,5012,1930,5077,1962,5141,1996,5204,2030,5267,2065,5329,2102,5390,2139,5451,2177,5511,2216,5571,2256,5630,2297,5688,2339,5746,2381,5803,2425,5859,2469,5914,2514,5969,2561,6023,2607,6076,2655,6129,2704,6180,2753,6231,2803,6282,2854,6331,2906,6380,2959,6427,3012,6474,3066,6520,3121,6566,3176,6610,3232,6654,3289,6696,3347,6738,3405,6779,3464,6819,3523,6858,3584,6896,3645,6933,3706,6970,3768,7005,3831,7039,3894,7072,3958,7105,4023,7136,4088,7167,4153,7196,4220,7224,4286,7252,4354,7278,4422,7303,4490,7327,4559,7350,4628,7372,4698,7393,4768,7413,4839,7431,4910,7449,4981,7465,5054,7480,5126,7494,5199,7507,5272,7519,5346,7529,5420,7539,5494,7547,5569,7554,5644,7559,5720,7564,5795,7567,5872,7569,5948,7570,5948,3087xe" filled="true" fillcolor="#ba2025" stroked="false">
              <v:path arrowok="t"/>
              <v:fill type="solid"/>
            </v:shape>
            <v:shape style="position:absolute;left:1465;top:-1396;width:8966;height:8966" coordorigin="1465,-1396" coordsize="8966,8966" path="m5948,-1396l5872,-1395,5795,-1393,5720,-1390,5644,-1386,5569,-1380,5494,-1373,5420,-1365,5346,-1356,5272,-1345,5199,-1333,5126,-1321,5054,-1307,4981,-1291,4910,-1275,4839,-1257,4768,-1239,4698,-1219,4628,-1198,4559,-1176,4490,-1153,4422,-1129,4354,-1104,4286,-1078,4220,-1050,4153,-1022,4088,-993,4023,-962,3958,-931,3894,-899,3831,-865,3768,-831,3706,-796,3645,-759,3584,-722,3523,-684,3464,-645,3405,-605,3347,-564,3289,-522,3232,-480,3176,-436,3121,-392,3066,-347,3012,-300,2959,-254,2906,-206,2854,-157,2803,-108,2753,-58,2704,-7,2655,45,2607,98,2561,151,2514,205,2469,260,2425,315,2381,371,2339,428,2297,486,2256,544,2216,603,2177,662,2139,723,2102,783,2065,845,2030,907,1996,970,1962,1033,1930,1097,1899,1162,1868,1227,1839,1292,1811,1359,1783,1425,1757,1493,1732,1560,1708,1629,1685,1698,1663,1767,1642,1837,1622,1907,1604,1978,1586,2049,1570,2120,1555,2193,1540,2265,1528,2338,1516,2411,1505,2485,1496,2559,1488,2633,1481,2708,1475,2783,1471,2859,1468,2934,1466,3010,1465,3087,1466,3163,1468,3239,1471,3315,1475,3391,1481,3466,1488,3541,1496,3615,1505,3689,1516,3763,1528,3836,1540,3909,1555,3981,1570,4053,1586,4125,1604,4196,1622,4267,1642,4337,1663,4407,1685,4476,1708,4545,1732,4613,1757,4681,1783,4748,1811,4815,1839,4881,1868,4947,1899,5012,1930,5077,1962,5141,1996,5204,2030,5267,2065,5329,2102,5390,2139,5451,2177,5511,2216,5571,2256,5630,2297,5688,2339,5746,2381,5803,2425,5859,2469,5914,2514,5969,2561,6023,2607,6076,2655,6129,2704,6180,2753,6231,2803,6282,2854,6331,2906,6380,2959,6427,3012,6474,3066,6520,3121,6566,3176,6610,3232,6654,3289,6696,3347,6738,3405,6779,3464,6819,3523,6858,3584,6896,3645,6933,3706,6970,3768,7005,3831,7039,3894,7072,3958,7105,4023,7136,4088,7167,4153,7196,4220,7224,4286,7252,4354,7278,4422,7303,4490,7327,4559,7350,4628,7372,4698,7393,4768,7413,4839,7431,4910,7449,4981,7465,5054,7480,5126,7494,5199,7507,5272,7519,5346,7529,5420,7539,5494,7547,5569,7554,5644,7559,5720,7564,5795,7567,5872,7569,5948,7570,6024,7569,6100,7567,6176,7564,6252,7559,6327,7554,6402,7547,6476,7539,6550,7529,6624,7519,6697,7507,6770,7494,6842,7480,6914,7465,6986,7449,7057,7431,7128,7413,7198,7393,7268,7372,7337,7350,7406,7327,7474,7303,7542,7278,7609,7252,7676,7224,7742,7196,7808,7167,7873,7136,7938,7105,8002,7072,8065,7039,8128,7005,8190,6970,8251,6933,8312,6896,8372,6858,8432,6819,8491,6779,8549,6738,8607,6696,8664,6654,8720,6610,8775,6566,8830,6520,8884,6474,8937,6427,8990,6380,9041,6331,9092,6282,9143,6231,9192,6180,9241,6129,9288,6076,9335,6023,9381,5969,9427,5914,9471,5859,9515,5803,9557,5746,9599,5688,9640,5630,9680,5571,9719,5511,9757,5451,9794,5390,9831,5329,9866,5267,9900,5204,9934,5141,9966,5077,9997,5012,10028,4947,10057,4881,10085,4815,10113,4748,10139,4681,10164,4613,10188,4545,10211,4476,10233,4407,10254,4337,10274,4267,10292,4196,10310,4125,10326,4053,10341,3981,10355,3909,10368,3836,10380,3763,10390,3689,10400,3615,10408,3541,10415,3466,10420,3391,10425,3315,10428,3239,10430,3163,10431,3087,10430,3010,10428,2934,10425,2859,10420,2783,10415,2708,10408,2633,10400,2559,10390,2485,10380,2411,10368,2338,10355,2265,10341,2193,10326,2120,10310,2049,10292,1978,10274,1907,10254,1837,10233,1767,10211,1698,10188,1629,10164,1560,10139,1493,10113,1425,10085,1359,10057,1292,10028,1227,9997,1162,9966,1097,9934,1033,9900,970,9866,907,9831,845,9794,783,9757,723,9719,662,9680,603,9640,544,9599,486,9557,428,9515,371,9471,315,9427,260,9381,205,9335,151,9288,98,9241,45,9192,-7,9143,-58,9092,-108,9041,-157,8990,-206,8937,-254,8884,-300,8830,-347,8775,-392,8720,-436,8664,-480,8607,-522,8549,-564,8491,-605,8432,-645,8372,-684,8312,-722,8251,-759,8190,-796,8128,-831,8065,-865,8002,-899,7938,-931,7873,-962,7808,-993,7742,-1022,7676,-1050,7609,-1078,7542,-1104,7474,-1129,7406,-1153,7337,-1176,7268,-1198,7198,-1219,7128,-1239,7057,-1257,6986,-1275,6914,-1291,6842,-1307,6770,-1321,6697,-1333,6624,-1345,6550,-1356,6476,-1365,6402,-1373,6327,-1380,6252,-1386,6176,-1390,6100,-1393,6024,-1395,5948,-1396xe" filled="true" fillcolor="#ffffff" stroked="false">
              <v:path arrowok="t"/>
              <v:fill opacity="52428f" type="solid"/>
            </v:shape>
            <v:rect style="position:absolute;left:9132;top:-1137;width:1049;height:1049" filled="true" fillcolor="#fbbfa8" stroked="false">
              <v:fill type="solid"/>
            </v:rect>
            <v:line style="position:absolute" from="4914,-76" to="7030,-76" stroked="true" strokeweight=".5pt" strokecolor="#cb4d2c">
              <v:stroke dashstyle="solid"/>
            </v:line>
            <v:line style="position:absolute" from="4914,2798" to="7030,2798" stroked="true" strokeweight=".5pt" strokecolor="#cb4d2c">
              <v:stroke dashstyle="solid"/>
            </v:line>
            <w10:wrap type="none"/>
          </v:group>
        </w:pict>
      </w:r>
      <w:r>
        <w:rPr>
          <w:b/>
          <w:color w:val="CB4D2C"/>
          <w:sz w:val="24"/>
        </w:rPr>
        <w:t>The French asset management association (</w:t>
      </w:r>
      <w:r>
        <w:rPr>
          <w:rFonts w:ascii="Trebuchet-BoldItalic" w:hAnsi="Trebuchet-BoldItalic"/>
          <w:b/>
          <w:i/>
          <w:color w:val="CB4D2C"/>
          <w:sz w:val="24"/>
        </w:rPr>
        <w:t>Association Française de la Gestion Financière </w:t>
      </w:r>
      <w:r>
        <w:rPr>
          <w:b/>
          <w:color w:val="CB4D2C"/>
          <w:sz w:val="24"/>
        </w:rPr>
        <w:t>— AFG)</w:t>
      </w:r>
    </w:p>
    <w:p>
      <w:pPr>
        <w:pStyle w:val="Heading2"/>
        <w:spacing w:line="276" w:lineRule="auto" w:before="0"/>
        <w:ind w:left="2464" w:right="2406"/>
        <w:jc w:val="center"/>
      </w:pPr>
      <w:r>
        <w:rPr>
          <w:color w:val="CB4D2C"/>
        </w:rPr>
        <w:t>represents and promotes the interests of third-party portfolio management professionals.</w:t>
      </w:r>
    </w:p>
    <w:p>
      <w:pPr>
        <w:spacing w:line="278" w:lineRule="exact" w:before="0"/>
        <w:ind w:left="2459" w:right="2406" w:firstLine="0"/>
        <w:jc w:val="center"/>
        <w:rPr>
          <w:sz w:val="24"/>
        </w:rPr>
      </w:pPr>
      <w:r>
        <w:rPr>
          <w:color w:val="CB4D2C"/>
          <w:sz w:val="24"/>
        </w:rPr>
        <w:t>It brings together all asset management players</w:t>
      </w:r>
    </w:p>
    <w:p>
      <w:pPr>
        <w:pStyle w:val="Heading2"/>
        <w:spacing w:before="40"/>
        <w:ind w:left="188" w:right="132"/>
        <w:jc w:val="center"/>
      </w:pPr>
      <w:r>
        <w:rPr>
          <w:color w:val="CB4D2C"/>
        </w:rPr>
        <w:t>from the discretionary and collective portfolio management segments.</w:t>
      </w:r>
    </w:p>
    <w:p>
      <w:pPr>
        <w:spacing w:before="41"/>
        <w:ind w:left="186" w:right="132" w:firstLine="0"/>
        <w:jc w:val="center"/>
        <w:rPr>
          <w:sz w:val="24"/>
        </w:rPr>
      </w:pPr>
      <w:r>
        <w:rPr>
          <w:color w:val="CB4D2C"/>
          <w:sz w:val="24"/>
        </w:rPr>
        <w:t>These actors manage more than €4,000 billion worth of assets,</w:t>
      </w:r>
    </w:p>
    <w:p>
      <w:pPr>
        <w:pStyle w:val="Heading2"/>
        <w:spacing w:before="41"/>
        <w:ind w:left="1580"/>
      </w:pPr>
      <w:r>
        <w:rPr>
          <w:color w:val="CB4D2C"/>
        </w:rPr>
        <w:t>i.e. a quarter of continental Europe’s portfolio management market.</w:t>
      </w:r>
    </w:p>
    <w:p>
      <w:pPr>
        <w:pStyle w:val="BodyText"/>
      </w:pPr>
    </w:p>
    <w:p>
      <w:pPr>
        <w:pStyle w:val="BodyText"/>
      </w:pPr>
    </w:p>
    <w:p>
      <w:pPr>
        <w:pStyle w:val="BodyText"/>
      </w:pPr>
    </w:p>
    <w:p>
      <w:pPr>
        <w:pStyle w:val="BodyText"/>
        <w:spacing w:before="11"/>
        <w:rPr>
          <w:sz w:val="21"/>
        </w:rPr>
      </w:pPr>
    </w:p>
    <w:p>
      <w:pPr>
        <w:pStyle w:val="BodyText"/>
        <w:spacing w:line="309" w:lineRule="auto" w:before="100"/>
        <w:ind w:left="1727" w:right="1793"/>
        <w:jc w:val="center"/>
      </w:pPr>
      <w:r>
        <w:rPr>
          <w:color w:val="CB4D2C"/>
        </w:rPr>
        <w:t>The AFG thanks all members of the working group who helped put together this guide, and in particular Guy LODEWYCKX, Amundi,</w:t>
      </w:r>
    </w:p>
    <w:p>
      <w:pPr>
        <w:pStyle w:val="BodyText"/>
        <w:spacing w:line="309" w:lineRule="auto" w:before="1"/>
        <w:ind w:left="1455" w:right="1523"/>
        <w:jc w:val="center"/>
      </w:pPr>
      <w:r>
        <w:rPr>
          <w:color w:val="CB4D2C"/>
        </w:rPr>
        <w:t>who led the group under the aegis of the AFG’s Risk Management Commission chaired by Christophe LEPITRE, OFI AM.</w:t>
      </w:r>
    </w:p>
    <w:p>
      <w:pPr>
        <w:pStyle w:val="BodyText"/>
        <w:spacing w:before="1"/>
        <w:ind w:left="2343" w:right="2406"/>
        <w:jc w:val="center"/>
      </w:pPr>
      <w:r>
        <w:rPr>
          <w:color w:val="CB4D2C"/>
        </w:rPr>
        <w:t>Adina GURAU </w:t>
      </w:r>
      <w:r>
        <w:rPr>
          <w:color w:val="CB4D2C"/>
          <w:spacing w:val="-3"/>
        </w:rPr>
        <w:t>AUDIBERT, </w:t>
      </w:r>
      <w:r>
        <w:rPr>
          <w:color w:val="CB4D2C"/>
        </w:rPr>
        <w:t>AFG, coordinated this </w:t>
      </w:r>
      <w:r>
        <w:rPr>
          <w:color w:val="CB4D2C"/>
          <w:spacing w:val="12"/>
        </w:rPr>
        <w:t> </w:t>
      </w:r>
      <w:r>
        <w:rPr>
          <w:color w:val="CB4D2C"/>
        </w:rPr>
        <w:t>work.</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7"/>
        </w:rPr>
      </w:pPr>
    </w:p>
    <w:p>
      <w:pPr>
        <w:pStyle w:val="BodyText"/>
        <w:spacing w:before="100"/>
        <w:ind w:left="2408" w:right="2406"/>
        <w:jc w:val="center"/>
      </w:pPr>
      <w:r>
        <w:rPr>
          <w:color w:val="FFFFFF"/>
        </w:rPr>
        <w:t>Published by the Asset Management division </w:t>
      </w:r>
      <w:r>
        <w:rPr>
          <w:color w:val="FFFFFF"/>
          <w:spacing w:val="28"/>
        </w:rPr>
        <w:t> </w:t>
      </w:r>
      <w:r>
        <w:rPr>
          <w:color w:val="FFFFFF"/>
        </w:rPr>
        <w:t>of </w:t>
      </w:r>
      <w:r>
        <w:rPr>
          <w:color w:val="FFFFFF"/>
          <w:spacing w:val="2"/>
        </w:rPr>
        <w:t>AFG</w:t>
      </w:r>
    </w:p>
    <w:p>
      <w:pPr>
        <w:pStyle w:val="BodyText"/>
        <w:spacing w:before="28"/>
        <w:ind w:left="131" w:right="132"/>
        <w:jc w:val="center"/>
      </w:pPr>
      <w:r>
        <w:rPr>
          <w:color w:val="FFFFFF"/>
        </w:rPr>
        <w:t>Adina Gurau Audibert, Head of Asset Management Division </w:t>
      </w:r>
      <w:r>
        <w:rPr>
          <w:color w:val="857B6D"/>
        </w:rPr>
        <w:t>I </w:t>
      </w:r>
      <w:r>
        <w:rPr>
          <w:color w:val="FFFFFF"/>
        </w:rPr>
        <w:t>T : +33 (0) 44 94 94 31 </w:t>
      </w:r>
      <w:r>
        <w:rPr>
          <w:color w:val="857B6D"/>
        </w:rPr>
        <w:t>I </w:t>
      </w:r>
      <w:hyperlink r:id="rId8">
        <w:r>
          <w:rPr>
            <w:color w:val="FFFFFF"/>
          </w:rPr>
          <w:t>a.gurau.audibert@afg.asso.fr</w:t>
        </w:r>
      </w:hyperlink>
    </w:p>
    <w:p>
      <w:pPr>
        <w:pStyle w:val="BodyText"/>
      </w:pPr>
    </w:p>
    <w:p>
      <w:pPr>
        <w:pStyle w:val="BodyText"/>
      </w:pPr>
    </w:p>
    <w:p>
      <w:pPr>
        <w:pStyle w:val="BodyText"/>
        <w:spacing w:before="7"/>
        <w:rPr>
          <w:sz w:val="19"/>
        </w:rPr>
      </w:pPr>
    </w:p>
    <w:p>
      <w:pPr>
        <w:pStyle w:val="BodyText"/>
        <w:ind w:left="131" w:right="110"/>
        <w:jc w:val="center"/>
      </w:pPr>
      <w:r>
        <w:rPr>
          <w:color w:val="FFFFFF"/>
        </w:rPr>
        <w:t>41,</w:t>
      </w:r>
      <w:r>
        <w:rPr>
          <w:color w:val="FFFFFF"/>
          <w:spacing w:val="10"/>
        </w:rPr>
        <w:t> </w:t>
      </w:r>
      <w:r>
        <w:rPr>
          <w:color w:val="FFFFFF"/>
        </w:rPr>
        <w:t>rue</w:t>
      </w:r>
      <w:r>
        <w:rPr>
          <w:color w:val="FFFFFF"/>
          <w:spacing w:val="12"/>
        </w:rPr>
        <w:t> </w:t>
      </w:r>
      <w:r>
        <w:rPr>
          <w:color w:val="FFFFFF"/>
        </w:rPr>
        <w:t>de</w:t>
      </w:r>
      <w:r>
        <w:rPr>
          <w:color w:val="FFFFFF"/>
          <w:spacing w:val="11"/>
        </w:rPr>
        <w:t> </w:t>
      </w:r>
      <w:r>
        <w:rPr>
          <w:color w:val="FFFFFF"/>
        </w:rPr>
        <w:t>la</w:t>
      </w:r>
      <w:r>
        <w:rPr>
          <w:color w:val="FFFFFF"/>
          <w:spacing w:val="11"/>
        </w:rPr>
        <w:t> </w:t>
      </w:r>
      <w:r>
        <w:rPr>
          <w:color w:val="FFFFFF"/>
        </w:rPr>
        <w:t>Bienfaisance</w:t>
      </w:r>
      <w:r>
        <w:rPr>
          <w:color w:val="FFFFFF"/>
          <w:spacing w:val="11"/>
        </w:rPr>
        <w:t> </w:t>
      </w:r>
      <w:r>
        <w:rPr>
          <w:color w:val="857B6D"/>
        </w:rPr>
        <w:t>I</w:t>
      </w:r>
      <w:r>
        <w:rPr>
          <w:color w:val="857B6D"/>
          <w:spacing w:val="11"/>
        </w:rPr>
        <w:t> </w:t>
      </w:r>
      <w:r>
        <w:rPr>
          <w:color w:val="FFFFFF"/>
        </w:rPr>
        <w:t>75008</w:t>
      </w:r>
      <w:r>
        <w:rPr>
          <w:color w:val="FFFFFF"/>
          <w:spacing w:val="10"/>
        </w:rPr>
        <w:t> </w:t>
      </w:r>
      <w:r>
        <w:rPr>
          <w:color w:val="FFFFFF"/>
        </w:rPr>
        <w:t>Paris</w:t>
      </w:r>
      <w:r>
        <w:rPr>
          <w:color w:val="FFFFFF"/>
          <w:spacing w:val="13"/>
        </w:rPr>
        <w:t> </w:t>
      </w:r>
      <w:r>
        <w:rPr>
          <w:color w:val="857B6D"/>
        </w:rPr>
        <w:t>I</w:t>
      </w:r>
      <w:r>
        <w:rPr>
          <w:color w:val="857B6D"/>
          <w:spacing w:val="8"/>
        </w:rPr>
        <w:t> </w:t>
      </w:r>
      <w:r>
        <w:rPr>
          <w:color w:val="FFFFFF"/>
        </w:rPr>
        <w:t>T</w:t>
      </w:r>
      <w:r>
        <w:rPr>
          <w:color w:val="FFFFFF"/>
          <w:spacing w:val="7"/>
        </w:rPr>
        <w:t> </w:t>
      </w:r>
      <w:r>
        <w:rPr>
          <w:color w:val="FFFFFF"/>
        </w:rPr>
        <w:t>:</w:t>
      </w:r>
      <w:r>
        <w:rPr>
          <w:color w:val="FFFFFF"/>
          <w:spacing w:val="11"/>
        </w:rPr>
        <w:t> </w:t>
      </w:r>
      <w:r>
        <w:rPr>
          <w:color w:val="FFFFFF"/>
        </w:rPr>
        <w:t>+33</w:t>
      </w:r>
      <w:r>
        <w:rPr>
          <w:color w:val="FFFFFF"/>
          <w:spacing w:val="11"/>
        </w:rPr>
        <w:t> </w:t>
      </w:r>
      <w:r>
        <w:rPr>
          <w:color w:val="FFFFFF"/>
        </w:rPr>
        <w:t>(0)1</w:t>
      </w:r>
      <w:r>
        <w:rPr>
          <w:color w:val="FFFFFF"/>
          <w:spacing w:val="10"/>
        </w:rPr>
        <w:t> </w:t>
      </w:r>
      <w:r>
        <w:rPr>
          <w:color w:val="FFFFFF"/>
        </w:rPr>
        <w:t>44</w:t>
      </w:r>
      <w:r>
        <w:rPr>
          <w:color w:val="FFFFFF"/>
          <w:spacing w:val="11"/>
        </w:rPr>
        <w:t> </w:t>
      </w:r>
      <w:r>
        <w:rPr>
          <w:color w:val="FFFFFF"/>
        </w:rPr>
        <w:t>94</w:t>
      </w:r>
      <w:r>
        <w:rPr>
          <w:color w:val="FFFFFF"/>
          <w:spacing w:val="11"/>
        </w:rPr>
        <w:t> </w:t>
      </w:r>
      <w:r>
        <w:rPr>
          <w:color w:val="FFFFFF"/>
        </w:rPr>
        <w:t>94</w:t>
      </w:r>
      <w:r>
        <w:rPr>
          <w:color w:val="FFFFFF"/>
          <w:spacing w:val="10"/>
        </w:rPr>
        <w:t> </w:t>
      </w:r>
      <w:r>
        <w:rPr>
          <w:color w:val="FFFFFF"/>
        </w:rPr>
        <w:t>00</w:t>
      </w:r>
      <w:r>
        <w:rPr>
          <w:color w:val="FFFFFF"/>
          <w:spacing w:val="14"/>
        </w:rPr>
        <w:t> </w:t>
      </w:r>
      <w:r>
        <w:rPr>
          <w:color w:val="857B6D"/>
        </w:rPr>
        <w:t>I</w:t>
      </w:r>
      <w:r>
        <w:rPr>
          <w:color w:val="857B6D"/>
          <w:spacing w:val="11"/>
        </w:rPr>
        <w:t> </w:t>
      </w:r>
      <w:hyperlink r:id="rId9">
        <w:r>
          <w:rPr>
            <w:color w:val="FFFFFF"/>
          </w:rPr>
          <w:t>www.afg.asso.fr</w:t>
        </w:r>
        <w:r>
          <w:rPr>
            <w:color w:val="FFFFFF"/>
            <w:spacing w:val="12"/>
          </w:rPr>
          <w:t> </w:t>
        </w:r>
      </w:hyperlink>
      <w:r>
        <w:rPr>
          <w:color w:val="857B6D"/>
        </w:rPr>
        <w:t>I</w:t>
      </w:r>
      <w:r>
        <w:rPr>
          <w:color w:val="857B6D"/>
          <w:spacing w:val="8"/>
        </w:rPr>
        <w:t> </w:t>
      </w:r>
      <w:r>
        <w:rPr>
          <w:color w:val="857B6D"/>
          <w:spacing w:val="8"/>
        </w:rPr>
        <w:drawing>
          <wp:inline distT="0" distB="0" distL="0" distR="0">
            <wp:extent cx="130822" cy="106324"/>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130822" cy="106324"/>
                    </a:xfrm>
                    <a:prstGeom prst="rect">
                      <a:avLst/>
                    </a:prstGeom>
                  </pic:spPr>
                </pic:pic>
              </a:graphicData>
            </a:graphic>
          </wp:inline>
        </w:drawing>
      </w:r>
      <w:r>
        <w:rPr>
          <w:color w:val="857B6D"/>
          <w:spacing w:val="8"/>
        </w:rPr>
      </w:r>
      <w:hyperlink r:id="rId11">
        <w:r>
          <w:rPr>
            <w:color w:val="FFFFFF"/>
          </w:rPr>
          <w:t>@AFG_France</w:t>
        </w:r>
      </w:hyperlink>
    </w:p>
    <w:p>
      <w:pPr>
        <w:pStyle w:val="BodyText"/>
        <w:spacing w:before="28"/>
        <w:ind w:left="2425" w:right="2406"/>
        <w:jc w:val="center"/>
      </w:pPr>
      <w:r>
        <w:rPr>
          <w:color w:val="FFFFFF"/>
        </w:rPr>
        <w:t>45, rue de Trèves </w:t>
      </w:r>
      <w:r>
        <w:rPr>
          <w:color w:val="857B6D"/>
        </w:rPr>
        <w:t>I </w:t>
      </w:r>
      <w:r>
        <w:rPr>
          <w:color w:val="FFFFFF"/>
        </w:rPr>
        <w:t>1040 Bruxelles </w:t>
      </w:r>
      <w:r>
        <w:rPr>
          <w:color w:val="857B6D"/>
        </w:rPr>
        <w:t>I </w:t>
      </w:r>
      <w:r>
        <w:rPr>
          <w:color w:val="FFFFFF"/>
        </w:rPr>
        <w:t>T : +32 (0)2 486 02 90</w:t>
      </w:r>
    </w:p>
    <w:sectPr>
      <w:pgSz w:w="11910" w:h="16840"/>
      <w:pgMar w:top="1580" w:bottom="280" w:left="6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Trebuchet-BoldItalic">
    <w:altName w:val="Trebuchet-BoldItal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690" w:hanging="364"/>
        <w:jc w:val="left"/>
      </w:pPr>
      <w:rPr>
        <w:rFonts w:hint="default"/>
        <w:lang w:val="en-gb" w:eastAsia="en-US" w:bidi="ar-SA"/>
      </w:rPr>
    </w:lvl>
    <w:lvl w:ilvl="1">
      <w:start w:val="1"/>
      <w:numFmt w:val="decimal"/>
      <w:lvlText w:val="%1.%2"/>
      <w:lvlJc w:val="left"/>
      <w:pPr>
        <w:ind w:left="690" w:hanging="364"/>
        <w:jc w:val="left"/>
      </w:pPr>
      <w:rPr>
        <w:rFonts w:hint="default" w:ascii="Arial" w:hAnsi="Arial" w:eastAsia="Arial" w:cs="Arial"/>
        <w:color w:val="CB4D2C"/>
        <w:spacing w:val="0"/>
        <w:w w:val="86"/>
        <w:sz w:val="24"/>
        <w:szCs w:val="24"/>
        <w:lang w:val="en-gb" w:eastAsia="en-US" w:bidi="ar-SA"/>
      </w:rPr>
    </w:lvl>
    <w:lvl w:ilvl="2">
      <w:start w:val="0"/>
      <w:numFmt w:val="bullet"/>
      <w:lvlText w:val="•"/>
      <w:lvlJc w:val="left"/>
      <w:pPr>
        <w:ind w:left="4601" w:hanging="364"/>
      </w:pPr>
      <w:rPr>
        <w:rFonts w:hint="default"/>
        <w:lang w:val="en-gb" w:eastAsia="en-US" w:bidi="ar-SA"/>
      </w:rPr>
    </w:lvl>
    <w:lvl w:ilvl="3">
      <w:start w:val="0"/>
      <w:numFmt w:val="bullet"/>
      <w:lvlText w:val="•"/>
      <w:lvlJc w:val="left"/>
      <w:pPr>
        <w:ind w:left="4742" w:hanging="364"/>
      </w:pPr>
      <w:rPr>
        <w:rFonts w:hint="default"/>
        <w:lang w:val="en-gb" w:eastAsia="en-US" w:bidi="ar-SA"/>
      </w:rPr>
    </w:lvl>
    <w:lvl w:ilvl="4">
      <w:start w:val="0"/>
      <w:numFmt w:val="bullet"/>
      <w:lvlText w:val="•"/>
      <w:lvlJc w:val="left"/>
      <w:pPr>
        <w:ind w:left="4884" w:hanging="364"/>
      </w:pPr>
      <w:rPr>
        <w:rFonts w:hint="default"/>
        <w:lang w:val="en-gb" w:eastAsia="en-US" w:bidi="ar-SA"/>
      </w:rPr>
    </w:lvl>
    <w:lvl w:ilvl="5">
      <w:start w:val="0"/>
      <w:numFmt w:val="bullet"/>
      <w:lvlText w:val="•"/>
      <w:lvlJc w:val="left"/>
      <w:pPr>
        <w:ind w:left="5025" w:hanging="364"/>
      </w:pPr>
      <w:rPr>
        <w:rFonts w:hint="default"/>
        <w:lang w:val="en-gb" w:eastAsia="en-US" w:bidi="ar-SA"/>
      </w:rPr>
    </w:lvl>
    <w:lvl w:ilvl="6">
      <w:start w:val="0"/>
      <w:numFmt w:val="bullet"/>
      <w:lvlText w:val="•"/>
      <w:lvlJc w:val="left"/>
      <w:pPr>
        <w:ind w:left="5167" w:hanging="364"/>
      </w:pPr>
      <w:rPr>
        <w:rFonts w:hint="default"/>
        <w:lang w:val="en-gb" w:eastAsia="en-US" w:bidi="ar-SA"/>
      </w:rPr>
    </w:lvl>
    <w:lvl w:ilvl="7">
      <w:start w:val="0"/>
      <w:numFmt w:val="bullet"/>
      <w:lvlText w:val="•"/>
      <w:lvlJc w:val="left"/>
      <w:pPr>
        <w:ind w:left="5308" w:hanging="364"/>
      </w:pPr>
      <w:rPr>
        <w:rFonts w:hint="default"/>
        <w:lang w:val="en-gb" w:eastAsia="en-US" w:bidi="ar-SA"/>
      </w:rPr>
    </w:lvl>
    <w:lvl w:ilvl="8">
      <w:start w:val="0"/>
      <w:numFmt w:val="bullet"/>
      <w:lvlText w:val="•"/>
      <w:lvlJc w:val="left"/>
      <w:pPr>
        <w:ind w:left="5450" w:hanging="364"/>
      </w:pPr>
      <w:rPr>
        <w:rFonts w:hint="default"/>
        <w:lang w:val="en-gb" w:eastAsia="en-US" w:bidi="ar-SA"/>
      </w:rPr>
    </w:lvl>
  </w:abstractNum>
  <w:abstractNum w:abstractNumId="3">
    <w:multiLevelType w:val="hybridMultilevel"/>
    <w:lvl w:ilvl="0">
      <w:start w:val="3"/>
      <w:numFmt w:val="decimal"/>
      <w:lvlText w:val="%1"/>
      <w:lvlJc w:val="left"/>
      <w:pPr>
        <w:ind w:left="903" w:hanging="571"/>
        <w:jc w:val="left"/>
      </w:pPr>
      <w:rPr>
        <w:rFonts w:hint="default"/>
        <w:lang w:val="en-gb" w:eastAsia="en-US" w:bidi="ar-SA"/>
      </w:rPr>
    </w:lvl>
    <w:lvl w:ilvl="1">
      <w:start w:val="1"/>
      <w:numFmt w:val="decimal"/>
      <w:lvlText w:val="%1.%2"/>
      <w:lvlJc w:val="left"/>
      <w:pPr>
        <w:ind w:left="903" w:hanging="571"/>
        <w:jc w:val="left"/>
      </w:pPr>
      <w:rPr>
        <w:rFonts w:hint="default"/>
        <w:lang w:val="en-gb" w:eastAsia="en-US" w:bidi="ar-SA"/>
      </w:rPr>
    </w:lvl>
    <w:lvl w:ilvl="2">
      <w:start w:val="2"/>
      <w:numFmt w:val="decimal"/>
      <w:lvlText w:val="%1.%2.%3"/>
      <w:lvlJc w:val="left"/>
      <w:pPr>
        <w:ind w:left="903" w:hanging="571"/>
        <w:jc w:val="right"/>
      </w:pPr>
      <w:rPr>
        <w:rFonts w:hint="default" w:ascii="Trebuchet MS" w:hAnsi="Trebuchet MS" w:eastAsia="Trebuchet MS" w:cs="Trebuchet MS"/>
        <w:b/>
        <w:bCs/>
        <w:color w:val="CB4D2C"/>
        <w:spacing w:val="0"/>
        <w:w w:val="100"/>
        <w:sz w:val="20"/>
        <w:szCs w:val="20"/>
        <w:lang w:val="en-gb" w:eastAsia="en-US" w:bidi="ar-SA"/>
      </w:rPr>
    </w:lvl>
    <w:lvl w:ilvl="3">
      <w:start w:val="0"/>
      <w:numFmt w:val="bullet"/>
      <w:lvlText w:val="•"/>
      <w:lvlJc w:val="left"/>
      <w:pPr>
        <w:ind w:left="2351" w:hanging="571"/>
      </w:pPr>
      <w:rPr>
        <w:rFonts w:hint="default"/>
        <w:lang w:val="en-gb" w:eastAsia="en-US" w:bidi="ar-SA"/>
      </w:rPr>
    </w:lvl>
    <w:lvl w:ilvl="4">
      <w:start w:val="0"/>
      <w:numFmt w:val="bullet"/>
      <w:lvlText w:val="•"/>
      <w:lvlJc w:val="left"/>
      <w:pPr>
        <w:ind w:left="2835" w:hanging="571"/>
      </w:pPr>
      <w:rPr>
        <w:rFonts w:hint="default"/>
        <w:lang w:val="en-gb" w:eastAsia="en-US" w:bidi="ar-SA"/>
      </w:rPr>
    </w:lvl>
    <w:lvl w:ilvl="5">
      <w:start w:val="0"/>
      <w:numFmt w:val="bullet"/>
      <w:lvlText w:val="•"/>
      <w:lvlJc w:val="left"/>
      <w:pPr>
        <w:ind w:left="3319" w:hanging="571"/>
      </w:pPr>
      <w:rPr>
        <w:rFonts w:hint="default"/>
        <w:lang w:val="en-gb" w:eastAsia="en-US" w:bidi="ar-SA"/>
      </w:rPr>
    </w:lvl>
    <w:lvl w:ilvl="6">
      <w:start w:val="0"/>
      <w:numFmt w:val="bullet"/>
      <w:lvlText w:val="•"/>
      <w:lvlJc w:val="left"/>
      <w:pPr>
        <w:ind w:left="3803" w:hanging="571"/>
      </w:pPr>
      <w:rPr>
        <w:rFonts w:hint="default"/>
        <w:lang w:val="en-gb" w:eastAsia="en-US" w:bidi="ar-SA"/>
      </w:rPr>
    </w:lvl>
    <w:lvl w:ilvl="7">
      <w:start w:val="0"/>
      <w:numFmt w:val="bullet"/>
      <w:lvlText w:val="•"/>
      <w:lvlJc w:val="left"/>
      <w:pPr>
        <w:ind w:left="4287" w:hanging="571"/>
      </w:pPr>
      <w:rPr>
        <w:rFonts w:hint="default"/>
        <w:lang w:val="en-gb" w:eastAsia="en-US" w:bidi="ar-SA"/>
      </w:rPr>
    </w:lvl>
    <w:lvl w:ilvl="8">
      <w:start w:val="0"/>
      <w:numFmt w:val="bullet"/>
      <w:lvlText w:val="•"/>
      <w:lvlJc w:val="left"/>
      <w:pPr>
        <w:ind w:left="4770" w:hanging="571"/>
      </w:pPr>
      <w:rPr>
        <w:rFonts w:hint="default"/>
        <w:lang w:val="en-gb" w:eastAsia="en-US" w:bidi="ar-SA"/>
      </w:rPr>
    </w:lvl>
  </w:abstractNum>
  <w:abstractNum w:abstractNumId="2">
    <w:multiLevelType w:val="hybridMultilevel"/>
    <w:lvl w:ilvl="0">
      <w:start w:val="3"/>
      <w:numFmt w:val="decimal"/>
      <w:lvlText w:val="%1"/>
      <w:lvlJc w:val="left"/>
      <w:pPr>
        <w:ind w:left="1298" w:hanging="364"/>
        <w:jc w:val="left"/>
      </w:pPr>
      <w:rPr>
        <w:rFonts w:hint="default"/>
        <w:lang w:val="en-gb" w:eastAsia="en-US" w:bidi="ar-SA"/>
      </w:rPr>
    </w:lvl>
    <w:lvl w:ilvl="1">
      <w:start w:val="1"/>
      <w:numFmt w:val="decimal"/>
      <w:lvlText w:val="%1.%2"/>
      <w:lvlJc w:val="left"/>
      <w:pPr>
        <w:ind w:left="1298" w:hanging="364"/>
        <w:jc w:val="right"/>
      </w:pPr>
      <w:rPr>
        <w:rFonts w:hint="default" w:ascii="Arial" w:hAnsi="Arial" w:eastAsia="Arial" w:cs="Arial"/>
        <w:color w:val="CB4D2C"/>
        <w:spacing w:val="0"/>
        <w:w w:val="86"/>
        <w:sz w:val="24"/>
        <w:szCs w:val="24"/>
        <w:lang w:val="en-gb" w:eastAsia="en-US" w:bidi="ar-SA"/>
      </w:rPr>
    </w:lvl>
    <w:lvl w:ilvl="2">
      <w:start w:val="1"/>
      <w:numFmt w:val="decimal"/>
      <w:lvlText w:val="%1.%2.%3"/>
      <w:lvlJc w:val="left"/>
      <w:pPr>
        <w:ind w:left="1506" w:hanging="571"/>
        <w:jc w:val="left"/>
      </w:pPr>
      <w:rPr>
        <w:rFonts w:hint="default" w:ascii="Trebuchet MS" w:hAnsi="Trebuchet MS" w:eastAsia="Trebuchet MS" w:cs="Trebuchet MS"/>
        <w:b/>
        <w:bCs/>
        <w:color w:val="CB4D2C"/>
        <w:spacing w:val="0"/>
        <w:w w:val="100"/>
        <w:sz w:val="20"/>
        <w:szCs w:val="20"/>
        <w:lang w:val="en-gb" w:eastAsia="en-US" w:bidi="ar-SA"/>
      </w:rPr>
    </w:lvl>
    <w:lvl w:ilvl="3">
      <w:start w:val="0"/>
      <w:numFmt w:val="bullet"/>
      <w:lvlText w:val="•"/>
      <w:lvlJc w:val="left"/>
      <w:pPr>
        <w:ind w:left="2372" w:hanging="571"/>
      </w:pPr>
      <w:rPr>
        <w:rFonts w:hint="default"/>
        <w:lang w:val="en-gb" w:eastAsia="en-US" w:bidi="ar-SA"/>
      </w:rPr>
    </w:lvl>
    <w:lvl w:ilvl="4">
      <w:start w:val="0"/>
      <w:numFmt w:val="bullet"/>
      <w:lvlText w:val="•"/>
      <w:lvlJc w:val="left"/>
      <w:pPr>
        <w:ind w:left="2808" w:hanging="571"/>
      </w:pPr>
      <w:rPr>
        <w:rFonts w:hint="default"/>
        <w:lang w:val="en-gb" w:eastAsia="en-US" w:bidi="ar-SA"/>
      </w:rPr>
    </w:lvl>
    <w:lvl w:ilvl="5">
      <w:start w:val="0"/>
      <w:numFmt w:val="bullet"/>
      <w:lvlText w:val="•"/>
      <w:lvlJc w:val="left"/>
      <w:pPr>
        <w:ind w:left="3245" w:hanging="571"/>
      </w:pPr>
      <w:rPr>
        <w:rFonts w:hint="default"/>
        <w:lang w:val="en-gb" w:eastAsia="en-US" w:bidi="ar-SA"/>
      </w:rPr>
    </w:lvl>
    <w:lvl w:ilvl="6">
      <w:start w:val="0"/>
      <w:numFmt w:val="bullet"/>
      <w:lvlText w:val="•"/>
      <w:lvlJc w:val="left"/>
      <w:pPr>
        <w:ind w:left="3681" w:hanging="571"/>
      </w:pPr>
      <w:rPr>
        <w:rFonts w:hint="default"/>
        <w:lang w:val="en-gb" w:eastAsia="en-US" w:bidi="ar-SA"/>
      </w:rPr>
    </w:lvl>
    <w:lvl w:ilvl="7">
      <w:start w:val="0"/>
      <w:numFmt w:val="bullet"/>
      <w:lvlText w:val="•"/>
      <w:lvlJc w:val="left"/>
      <w:pPr>
        <w:ind w:left="4117" w:hanging="571"/>
      </w:pPr>
      <w:rPr>
        <w:rFonts w:hint="default"/>
        <w:lang w:val="en-gb" w:eastAsia="en-US" w:bidi="ar-SA"/>
      </w:rPr>
    </w:lvl>
    <w:lvl w:ilvl="8">
      <w:start w:val="0"/>
      <w:numFmt w:val="bullet"/>
      <w:lvlText w:val="•"/>
      <w:lvlJc w:val="left"/>
      <w:pPr>
        <w:ind w:left="4554" w:hanging="571"/>
      </w:pPr>
      <w:rPr>
        <w:rFonts w:hint="default"/>
        <w:lang w:val="en-gb" w:eastAsia="en-US" w:bidi="ar-SA"/>
      </w:rPr>
    </w:lvl>
  </w:abstractNum>
  <w:abstractNum w:abstractNumId="1">
    <w:multiLevelType w:val="hybridMultilevel"/>
    <w:lvl w:ilvl="0">
      <w:start w:val="1"/>
      <w:numFmt w:val="decimal"/>
      <w:lvlText w:val="%1."/>
      <w:lvlJc w:val="left"/>
      <w:pPr>
        <w:ind w:left="1455" w:hanging="293"/>
        <w:jc w:val="right"/>
      </w:pPr>
      <w:rPr>
        <w:rFonts w:hint="default" w:ascii="Arial" w:hAnsi="Arial" w:eastAsia="Arial" w:cs="Arial"/>
        <w:color w:val="CB4D2C"/>
        <w:w w:val="77"/>
        <w:sz w:val="32"/>
        <w:szCs w:val="32"/>
        <w:lang w:val="en-gb" w:eastAsia="en-US" w:bidi="ar-SA"/>
      </w:rPr>
    </w:lvl>
    <w:lvl w:ilvl="1">
      <w:start w:val="0"/>
      <w:numFmt w:val="bullet"/>
      <w:lvlText w:val="•"/>
      <w:lvlJc w:val="left"/>
      <w:pPr>
        <w:ind w:left="1860" w:hanging="293"/>
      </w:pPr>
      <w:rPr>
        <w:rFonts w:hint="default"/>
        <w:lang w:val="en-gb" w:eastAsia="en-US" w:bidi="ar-SA"/>
      </w:rPr>
    </w:lvl>
    <w:lvl w:ilvl="2">
      <w:start w:val="0"/>
      <w:numFmt w:val="bullet"/>
      <w:lvlText w:val="•"/>
      <w:lvlJc w:val="left"/>
      <w:pPr>
        <w:ind w:left="2261" w:hanging="293"/>
      </w:pPr>
      <w:rPr>
        <w:rFonts w:hint="default"/>
        <w:lang w:val="en-gb" w:eastAsia="en-US" w:bidi="ar-SA"/>
      </w:rPr>
    </w:lvl>
    <w:lvl w:ilvl="3">
      <w:start w:val="0"/>
      <w:numFmt w:val="bullet"/>
      <w:lvlText w:val="•"/>
      <w:lvlJc w:val="left"/>
      <w:pPr>
        <w:ind w:left="2662" w:hanging="293"/>
      </w:pPr>
      <w:rPr>
        <w:rFonts w:hint="default"/>
        <w:lang w:val="en-gb" w:eastAsia="en-US" w:bidi="ar-SA"/>
      </w:rPr>
    </w:lvl>
    <w:lvl w:ilvl="4">
      <w:start w:val="0"/>
      <w:numFmt w:val="bullet"/>
      <w:lvlText w:val="•"/>
      <w:lvlJc w:val="left"/>
      <w:pPr>
        <w:ind w:left="3062" w:hanging="293"/>
      </w:pPr>
      <w:rPr>
        <w:rFonts w:hint="default"/>
        <w:lang w:val="en-gb" w:eastAsia="en-US" w:bidi="ar-SA"/>
      </w:rPr>
    </w:lvl>
    <w:lvl w:ilvl="5">
      <w:start w:val="0"/>
      <w:numFmt w:val="bullet"/>
      <w:lvlText w:val="•"/>
      <w:lvlJc w:val="left"/>
      <w:pPr>
        <w:ind w:left="3463" w:hanging="293"/>
      </w:pPr>
      <w:rPr>
        <w:rFonts w:hint="default"/>
        <w:lang w:val="en-gb" w:eastAsia="en-US" w:bidi="ar-SA"/>
      </w:rPr>
    </w:lvl>
    <w:lvl w:ilvl="6">
      <w:start w:val="0"/>
      <w:numFmt w:val="bullet"/>
      <w:lvlText w:val="•"/>
      <w:lvlJc w:val="left"/>
      <w:pPr>
        <w:ind w:left="3863" w:hanging="293"/>
      </w:pPr>
      <w:rPr>
        <w:rFonts w:hint="default"/>
        <w:lang w:val="en-gb" w:eastAsia="en-US" w:bidi="ar-SA"/>
      </w:rPr>
    </w:lvl>
    <w:lvl w:ilvl="7">
      <w:start w:val="0"/>
      <w:numFmt w:val="bullet"/>
      <w:lvlText w:val="•"/>
      <w:lvlJc w:val="left"/>
      <w:pPr>
        <w:ind w:left="4264" w:hanging="293"/>
      </w:pPr>
      <w:rPr>
        <w:rFonts w:hint="default"/>
        <w:lang w:val="en-gb" w:eastAsia="en-US" w:bidi="ar-SA"/>
      </w:rPr>
    </w:lvl>
    <w:lvl w:ilvl="8">
      <w:start w:val="0"/>
      <w:numFmt w:val="bullet"/>
      <w:lvlText w:val="•"/>
      <w:lvlJc w:val="left"/>
      <w:pPr>
        <w:ind w:left="4665" w:hanging="293"/>
      </w:pPr>
      <w:rPr>
        <w:rFonts w:hint="default"/>
        <w:lang w:val="en-gb" w:eastAsia="en-US" w:bidi="ar-SA"/>
      </w:rPr>
    </w:lvl>
  </w:abstractNum>
  <w:abstractNum w:abstractNumId="0">
    <w:multiLevelType w:val="hybridMultilevel"/>
    <w:lvl w:ilvl="0">
      <w:start w:val="1"/>
      <w:numFmt w:val="decimal"/>
      <w:lvlText w:val="%1."/>
      <w:lvlJc w:val="left"/>
      <w:pPr>
        <w:ind w:left="1471" w:hanging="235"/>
        <w:jc w:val="left"/>
      </w:pPr>
      <w:rPr>
        <w:rFonts w:hint="default" w:ascii="Arial" w:hAnsi="Arial" w:eastAsia="Arial" w:cs="Arial"/>
        <w:color w:val="CB4D2C"/>
        <w:spacing w:val="0"/>
        <w:w w:val="77"/>
        <w:sz w:val="24"/>
        <w:szCs w:val="24"/>
        <w:lang w:val="en-gb" w:eastAsia="en-US" w:bidi="ar-SA"/>
      </w:rPr>
    </w:lvl>
    <w:lvl w:ilvl="1">
      <w:start w:val="1"/>
      <w:numFmt w:val="decimal"/>
      <w:lvlText w:val="%1.%2"/>
      <w:lvlJc w:val="left"/>
      <w:pPr>
        <w:ind w:left="1893" w:hanging="374"/>
        <w:jc w:val="left"/>
      </w:pPr>
      <w:rPr>
        <w:rFonts w:hint="default" w:ascii="Arial" w:hAnsi="Arial" w:eastAsia="Arial" w:cs="Arial"/>
        <w:color w:val="231F20"/>
        <w:spacing w:val="0"/>
        <w:w w:val="86"/>
        <w:sz w:val="24"/>
        <w:szCs w:val="24"/>
        <w:lang w:val="en-gb" w:eastAsia="en-US" w:bidi="ar-SA"/>
      </w:rPr>
    </w:lvl>
    <w:lvl w:ilvl="2">
      <w:start w:val="0"/>
      <w:numFmt w:val="bullet"/>
      <w:lvlText w:val="•"/>
      <w:lvlJc w:val="left"/>
      <w:pPr>
        <w:ind w:left="2933" w:hanging="374"/>
      </w:pPr>
      <w:rPr>
        <w:rFonts w:hint="default"/>
        <w:lang w:val="en-gb" w:eastAsia="en-US" w:bidi="ar-SA"/>
      </w:rPr>
    </w:lvl>
    <w:lvl w:ilvl="3">
      <w:start w:val="0"/>
      <w:numFmt w:val="bullet"/>
      <w:lvlText w:val="•"/>
      <w:lvlJc w:val="left"/>
      <w:pPr>
        <w:ind w:left="3967" w:hanging="374"/>
      </w:pPr>
      <w:rPr>
        <w:rFonts w:hint="default"/>
        <w:lang w:val="en-gb" w:eastAsia="en-US" w:bidi="ar-SA"/>
      </w:rPr>
    </w:lvl>
    <w:lvl w:ilvl="4">
      <w:start w:val="0"/>
      <w:numFmt w:val="bullet"/>
      <w:lvlText w:val="•"/>
      <w:lvlJc w:val="left"/>
      <w:pPr>
        <w:ind w:left="5001" w:hanging="374"/>
      </w:pPr>
      <w:rPr>
        <w:rFonts w:hint="default"/>
        <w:lang w:val="en-gb" w:eastAsia="en-US" w:bidi="ar-SA"/>
      </w:rPr>
    </w:lvl>
    <w:lvl w:ilvl="5">
      <w:start w:val="0"/>
      <w:numFmt w:val="bullet"/>
      <w:lvlText w:val="•"/>
      <w:lvlJc w:val="left"/>
      <w:pPr>
        <w:ind w:left="6035" w:hanging="374"/>
      </w:pPr>
      <w:rPr>
        <w:rFonts w:hint="default"/>
        <w:lang w:val="en-gb" w:eastAsia="en-US" w:bidi="ar-SA"/>
      </w:rPr>
    </w:lvl>
    <w:lvl w:ilvl="6">
      <w:start w:val="0"/>
      <w:numFmt w:val="bullet"/>
      <w:lvlText w:val="•"/>
      <w:lvlJc w:val="left"/>
      <w:pPr>
        <w:ind w:left="7069" w:hanging="374"/>
      </w:pPr>
      <w:rPr>
        <w:rFonts w:hint="default"/>
        <w:lang w:val="en-gb" w:eastAsia="en-US" w:bidi="ar-SA"/>
      </w:rPr>
    </w:lvl>
    <w:lvl w:ilvl="7">
      <w:start w:val="0"/>
      <w:numFmt w:val="bullet"/>
      <w:lvlText w:val="•"/>
      <w:lvlJc w:val="left"/>
      <w:pPr>
        <w:ind w:left="8103" w:hanging="374"/>
      </w:pPr>
      <w:rPr>
        <w:rFonts w:hint="default"/>
        <w:lang w:val="en-gb" w:eastAsia="en-US" w:bidi="ar-SA"/>
      </w:rPr>
    </w:lvl>
    <w:lvl w:ilvl="8">
      <w:start w:val="0"/>
      <w:numFmt w:val="bullet"/>
      <w:lvlText w:val="•"/>
      <w:lvlJc w:val="left"/>
      <w:pPr>
        <w:ind w:left="9137" w:hanging="374"/>
      </w:pPr>
      <w:rPr>
        <w:rFonts w:hint="default"/>
        <w:lang w:val="en-gb"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gb" w:eastAsia="en-US" w:bidi="ar-SA"/>
    </w:rPr>
  </w:style>
  <w:style w:styleId="TOC1" w:type="paragraph">
    <w:name w:val="TOC 1"/>
    <w:basedOn w:val="Normal"/>
    <w:uiPriority w:val="1"/>
    <w:qFormat/>
    <w:pPr>
      <w:spacing w:before="424"/>
      <w:ind w:left="1516" w:hanging="280"/>
    </w:pPr>
    <w:rPr>
      <w:rFonts w:ascii="Arial" w:hAnsi="Arial" w:eastAsia="Arial" w:cs="Arial"/>
      <w:sz w:val="24"/>
      <w:szCs w:val="24"/>
      <w:lang w:val="en-gb" w:eastAsia="en-US" w:bidi="ar-SA"/>
    </w:rPr>
  </w:style>
  <w:style w:styleId="TOC2" w:type="paragraph">
    <w:name w:val="TOC 2"/>
    <w:basedOn w:val="Normal"/>
    <w:uiPriority w:val="1"/>
    <w:qFormat/>
    <w:pPr>
      <w:spacing w:before="344"/>
      <w:ind w:left="1520" w:hanging="420"/>
    </w:pPr>
    <w:rPr>
      <w:rFonts w:ascii="Arial" w:hAnsi="Arial" w:eastAsia="Arial" w:cs="Arial"/>
      <w:sz w:val="24"/>
      <w:szCs w:val="24"/>
      <w:lang w:val="en-gb" w:eastAsia="en-US" w:bidi="ar-SA"/>
    </w:rPr>
  </w:style>
  <w:style w:styleId="TOC3" w:type="paragraph">
    <w:name w:val="TOC 3"/>
    <w:basedOn w:val="Normal"/>
    <w:uiPriority w:val="1"/>
    <w:qFormat/>
    <w:pPr>
      <w:spacing w:before="4"/>
      <w:ind w:left="1938"/>
    </w:pPr>
    <w:rPr>
      <w:rFonts w:ascii="Arial" w:hAnsi="Arial" w:eastAsia="Arial" w:cs="Arial"/>
      <w:sz w:val="24"/>
      <w:szCs w:val="24"/>
      <w:lang w:val="en-gb" w:eastAsia="en-US" w:bidi="ar-SA"/>
    </w:rPr>
  </w:style>
  <w:style w:styleId="BodyText" w:type="paragraph">
    <w:name w:val="Body Text"/>
    <w:basedOn w:val="Normal"/>
    <w:uiPriority w:val="1"/>
    <w:qFormat/>
    <w:pPr/>
    <w:rPr>
      <w:rFonts w:ascii="Trebuchet MS" w:hAnsi="Trebuchet MS" w:eastAsia="Trebuchet MS" w:cs="Trebuchet MS"/>
      <w:sz w:val="20"/>
      <w:szCs w:val="20"/>
      <w:lang w:val="en-gb" w:eastAsia="en-US" w:bidi="ar-SA"/>
    </w:rPr>
  </w:style>
  <w:style w:styleId="Heading1" w:type="paragraph">
    <w:name w:val="Heading 1"/>
    <w:basedOn w:val="Normal"/>
    <w:uiPriority w:val="1"/>
    <w:qFormat/>
    <w:pPr>
      <w:ind w:left="907"/>
      <w:outlineLvl w:val="1"/>
    </w:pPr>
    <w:rPr>
      <w:rFonts w:ascii="Arial" w:hAnsi="Arial" w:eastAsia="Arial" w:cs="Arial"/>
      <w:sz w:val="32"/>
      <w:szCs w:val="32"/>
      <w:lang w:val="en-gb" w:eastAsia="en-US" w:bidi="ar-SA"/>
    </w:rPr>
  </w:style>
  <w:style w:styleId="Heading2" w:type="paragraph">
    <w:name w:val="Heading 2"/>
    <w:basedOn w:val="Normal"/>
    <w:uiPriority w:val="1"/>
    <w:qFormat/>
    <w:pPr>
      <w:spacing w:before="44"/>
      <w:ind w:left="935"/>
      <w:outlineLvl w:val="2"/>
    </w:pPr>
    <w:rPr>
      <w:rFonts w:ascii="Trebuchet MS" w:hAnsi="Trebuchet MS" w:eastAsia="Trebuchet MS" w:cs="Trebuchet MS"/>
      <w:sz w:val="24"/>
      <w:szCs w:val="24"/>
      <w:lang w:val="en-gb" w:eastAsia="en-US" w:bidi="ar-SA"/>
    </w:rPr>
  </w:style>
  <w:style w:styleId="Heading3" w:type="paragraph">
    <w:name w:val="Heading 3"/>
    <w:basedOn w:val="Normal"/>
    <w:uiPriority w:val="1"/>
    <w:qFormat/>
    <w:pPr>
      <w:ind w:left="935"/>
      <w:outlineLvl w:val="3"/>
    </w:pPr>
    <w:rPr>
      <w:rFonts w:ascii="Trebuchet MS" w:hAnsi="Trebuchet MS" w:eastAsia="Trebuchet MS" w:cs="Trebuchet MS"/>
      <w:b/>
      <w:bCs/>
      <w:sz w:val="20"/>
      <w:szCs w:val="20"/>
      <w:lang w:val="en-gb" w:eastAsia="en-US" w:bidi="ar-SA"/>
    </w:rPr>
  </w:style>
  <w:style w:styleId="Title" w:type="paragraph">
    <w:name w:val="Title"/>
    <w:basedOn w:val="Normal"/>
    <w:uiPriority w:val="1"/>
    <w:qFormat/>
    <w:pPr>
      <w:ind w:left="1694" w:right="1670"/>
      <w:jc w:val="center"/>
    </w:pPr>
    <w:rPr>
      <w:rFonts w:ascii="Arial" w:hAnsi="Arial" w:eastAsia="Arial" w:cs="Arial"/>
      <w:sz w:val="72"/>
      <w:szCs w:val="72"/>
      <w:lang w:val="en-gb" w:eastAsia="en-US" w:bidi="ar-SA"/>
    </w:rPr>
  </w:style>
  <w:style w:styleId="ListParagraph" w:type="paragraph">
    <w:name w:val="List Paragraph"/>
    <w:basedOn w:val="Normal"/>
    <w:uiPriority w:val="1"/>
    <w:qFormat/>
    <w:pPr>
      <w:spacing w:before="344"/>
      <w:ind w:left="1506" w:hanging="572"/>
    </w:pPr>
    <w:rPr>
      <w:rFonts w:ascii="Arial" w:hAnsi="Arial" w:eastAsia="Arial" w:cs="Arial"/>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tephaniedargent.fr/" TargetMode="External"/><Relationship Id="rId8" Type="http://schemas.openxmlformats.org/officeDocument/2006/relationships/hyperlink" Target="mailto:a.gurau.audibert@afg.asso.fr" TargetMode="External"/><Relationship Id="rId9" Type="http://schemas.openxmlformats.org/officeDocument/2006/relationships/hyperlink" Target="http://www.afg.asso.fr/" TargetMode="External"/><Relationship Id="rId10" Type="http://schemas.openxmlformats.org/officeDocument/2006/relationships/image" Target="media/image3.png"/><Relationship Id="rId11" Type="http://schemas.openxmlformats.org/officeDocument/2006/relationships/hyperlink" Target="https://twitter.com/AFG_France"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2020-12-07T08:34:22Z</dcterms:created>
  <dcterms:modified xsi:type="dcterms:W3CDTF">2020-12-07T08:34:22Z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Adobe InDesign 16.0 (Macintosh)</vt:lpwstr>
  </property>
  <property fmtid="{D5CDD505-2E9C-101B-9397-08002B2CF9AE}" pid="4" name="LastSaved">
    <vt:filetime>2020-12-07T00:00:00Z</vt:filetime>
  </property>
</Properties>
</file>