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4"/>
      </w:tblGrid>
      <w:tr w:rsidR="00D812B4" w:rsidRPr="002F5927" w14:paraId="3EFA2768" w14:textId="77777777" w:rsidTr="00971EFB">
        <w:trPr>
          <w:trHeight w:val="2186"/>
        </w:trPr>
        <w:tc>
          <w:tcPr>
            <w:tcW w:w="4534" w:type="dxa"/>
          </w:tcPr>
          <w:p w14:paraId="5F441B28" w14:textId="77777777" w:rsidR="00D812B4" w:rsidRPr="002F5927" w:rsidRDefault="00D812B4" w:rsidP="00850297">
            <w:pPr>
              <w:jc w:val="center"/>
              <w:outlineLvl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5927">
              <w:rPr>
                <w:rFonts w:ascii="Arial" w:hAnsi="Arial" w:cs="Arial"/>
                <w:noProof/>
              </w:rPr>
              <w:drawing>
                <wp:inline distT="0" distB="0" distL="0" distR="0" wp14:anchorId="2B03A669" wp14:editId="29250CB2">
                  <wp:extent cx="1670358" cy="1433015"/>
                  <wp:effectExtent l="0" t="0" r="635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899" cy="14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52D2AE43" w14:textId="77777777" w:rsidR="00D812B4" w:rsidRPr="002F5927" w:rsidRDefault="00D812B4" w:rsidP="00850297">
            <w:pPr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36"/>
              </w:rPr>
            </w:pPr>
          </w:p>
          <w:p w14:paraId="77742D48" w14:textId="77777777" w:rsidR="00D812B4" w:rsidRPr="002F5927" w:rsidRDefault="00D812B4" w:rsidP="00850297">
            <w:pPr>
              <w:jc w:val="center"/>
              <w:outlineLvl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5927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0BCD326" wp14:editId="66FD18A4">
                  <wp:extent cx="1268095" cy="792480"/>
                  <wp:effectExtent l="0" t="0" r="8255" b="762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68B30" w14:textId="77777777" w:rsidR="001E6A48" w:rsidRPr="002F5927" w:rsidRDefault="001E6A48" w:rsidP="001E6A48">
      <w:pPr>
        <w:outlineLvl w:val="0"/>
        <w:rPr>
          <w:rFonts w:ascii="Arial" w:hAnsi="Arial" w:cs="Arial"/>
          <w:b/>
          <w:bCs/>
          <w:sz w:val="36"/>
          <w:szCs w:val="36"/>
        </w:rPr>
      </w:pPr>
    </w:p>
    <w:p w14:paraId="64D67213" w14:textId="77777777" w:rsidR="001E6A48" w:rsidRPr="002F5927" w:rsidRDefault="001E6A48" w:rsidP="001E6A48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1F4D5297" w14:textId="114C7F03" w:rsidR="00DA5575" w:rsidRDefault="001E6A48" w:rsidP="001E6A48">
      <w:pPr>
        <w:jc w:val="center"/>
        <w:outlineLvl w:val="0"/>
        <w:rPr>
          <w:rFonts w:ascii="Arial" w:hAnsi="Arial" w:cs="Arial"/>
          <w:b/>
          <w:bCs/>
          <w:sz w:val="40"/>
          <w:szCs w:val="36"/>
        </w:rPr>
      </w:pPr>
      <w:r w:rsidRPr="002F5927">
        <w:rPr>
          <w:rFonts w:ascii="Arial" w:hAnsi="Arial" w:cs="Arial"/>
          <w:b/>
          <w:bCs/>
          <w:sz w:val="40"/>
          <w:szCs w:val="36"/>
        </w:rPr>
        <w:t>Questionnaire de référence AFG</w:t>
      </w:r>
      <w:r w:rsidR="00280A5F" w:rsidRPr="002F5927">
        <w:rPr>
          <w:rFonts w:ascii="Arial" w:hAnsi="Arial" w:cs="Arial"/>
          <w:b/>
          <w:bCs/>
          <w:sz w:val="40"/>
          <w:szCs w:val="36"/>
        </w:rPr>
        <w:t>/AF2i</w:t>
      </w:r>
    </w:p>
    <w:p w14:paraId="517EEEEF" w14:textId="77777777" w:rsidR="001E6A48" w:rsidRPr="002F5927" w:rsidRDefault="001E6A48" w:rsidP="001E6A48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7C8E0779" w14:textId="57D9C6F4" w:rsidR="00A73DB2" w:rsidRDefault="00881BE9" w:rsidP="001E6A48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OPC</w:t>
      </w:r>
    </w:p>
    <w:p w14:paraId="6FC1B1F4" w14:textId="0B10020C" w:rsidR="00A73DB2" w:rsidRPr="002F5927" w:rsidRDefault="00F3145C" w:rsidP="001E6A48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Novembre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73DB2">
        <w:rPr>
          <w:rFonts w:ascii="Arial" w:hAnsi="Arial" w:cs="Arial"/>
          <w:b/>
          <w:bCs/>
          <w:sz w:val="36"/>
          <w:szCs w:val="36"/>
        </w:rPr>
        <w:t>2018</w:t>
      </w:r>
    </w:p>
    <w:p w14:paraId="74D4C75D" w14:textId="77777777" w:rsidR="001E6A48" w:rsidRPr="002F5927" w:rsidRDefault="001E6A48" w:rsidP="001E6A48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1F12004" w14:textId="77777777" w:rsidR="001E6A48" w:rsidRPr="002F5927" w:rsidRDefault="001E6A48" w:rsidP="001E6A48">
      <w:pPr>
        <w:rPr>
          <w:rFonts w:ascii="Arial" w:hAnsi="Arial" w:cs="Arial"/>
        </w:rPr>
      </w:pPr>
    </w:p>
    <w:p w14:paraId="3A65FC37" w14:textId="77777777" w:rsidR="001E6A48" w:rsidRPr="002F5927" w:rsidRDefault="001E6A48" w:rsidP="001E6A48">
      <w:pPr>
        <w:rPr>
          <w:rFonts w:ascii="Arial" w:hAnsi="Arial" w:cs="Arial"/>
        </w:rPr>
      </w:pPr>
    </w:p>
    <w:tbl>
      <w:tblPr>
        <w:tblW w:w="100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5261"/>
      </w:tblGrid>
      <w:tr w:rsidR="001E6A48" w:rsidRPr="00D36D86" w14:paraId="2C3EB5B0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75899DBF" w14:textId="77777777" w:rsidR="001E6A48" w:rsidRPr="00D36D86" w:rsidRDefault="001E6A48" w:rsidP="00C3025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 du fonds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B75AB70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07C3FB47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7CCCFE25" w14:textId="77777777" w:rsidR="001E6A48" w:rsidRPr="00D36D86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Part présentée </w:t>
            </w:r>
            <w:r w:rsidRPr="00D36D8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(s’il y a lieu)</w:t>
            </w: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5F3ED025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26D2563B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048B927C" w14:textId="77777777" w:rsidR="001E6A48" w:rsidRPr="00D36D86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Société de gestion 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97F61A8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6A2488C8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6E42D3FF" w14:textId="77777777" w:rsidR="001E6A48" w:rsidRPr="00D36D86" w:rsidRDefault="001E6A48" w:rsidP="001E6A4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Contact commercial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14CBD12E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15D05F46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16A04DE8" w14:textId="77777777" w:rsidR="001E6A48" w:rsidRPr="00D36D86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Titre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1ED96A51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3B6F117F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75E3BC98" w14:textId="77777777" w:rsidR="001E6A48" w:rsidRPr="00D36D86" w:rsidRDefault="001E6A48" w:rsidP="001E6A48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Email 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CC70DF4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3DE6D457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2EFF1665" w14:textId="77777777" w:rsidR="001E6A48" w:rsidRPr="00D36D86" w:rsidRDefault="001E6A48" w:rsidP="001E6A48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Téléphone 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0B0AF1B1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55F44A30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5B6CDA8E" w14:textId="77777777" w:rsidR="001E6A48" w:rsidRPr="00D36D86" w:rsidRDefault="001E6A48" w:rsidP="001E6A4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Fax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A096854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06336788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17CEEE07" w14:textId="77777777" w:rsidR="001E6A48" w:rsidRPr="00D36D86" w:rsidRDefault="001E6A48" w:rsidP="001E6A48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788E4D2B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D36D86" w14:paraId="6DB4CAD6" w14:textId="77777777" w:rsidTr="001E6A48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7D177816" w14:textId="77777777" w:rsidR="001E6A48" w:rsidRPr="00D36D86" w:rsidRDefault="001E6A48" w:rsidP="001E6A4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Adresse site internet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0866E03A" w14:textId="77777777" w:rsidR="001E6A48" w:rsidRPr="00D36D86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675AB" w14:textId="77777777" w:rsidR="001E6A48" w:rsidRPr="00D36D86" w:rsidRDefault="001E6A48" w:rsidP="001E6A48">
      <w:pPr>
        <w:rPr>
          <w:rFonts w:ascii="Arial" w:hAnsi="Arial" w:cs="Arial"/>
          <w:sz w:val="20"/>
          <w:szCs w:val="20"/>
        </w:rPr>
      </w:pPr>
    </w:p>
    <w:tbl>
      <w:tblPr>
        <w:tblW w:w="100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5261"/>
      </w:tblGrid>
      <w:tr w:rsidR="001A15E9" w:rsidRPr="00D36D86" w14:paraId="6CD097EB" w14:textId="77777777" w:rsidTr="001A15E9">
        <w:trPr>
          <w:trHeight w:val="510"/>
        </w:trPr>
        <w:tc>
          <w:tcPr>
            <w:tcW w:w="4831" w:type="dxa"/>
            <w:shd w:val="clear" w:color="auto" w:fill="1F497D" w:themeFill="text2"/>
            <w:vAlign w:val="center"/>
          </w:tcPr>
          <w:p w14:paraId="7D6CF9C2" w14:textId="77777777" w:rsidR="001A15E9" w:rsidRPr="00D36D86" w:rsidRDefault="001A15E9" w:rsidP="001A15E9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Société de gestion délégataire de la gestion financière (ou conseil) 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58B6831B" w14:textId="77777777" w:rsidR="001A15E9" w:rsidRPr="00D36D86" w:rsidRDefault="001A15E9" w:rsidP="001A1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10EE8" w14:textId="77777777" w:rsidR="00F626F9" w:rsidRPr="002F5927" w:rsidRDefault="001E6A48" w:rsidP="00F626F9">
      <w:pPr>
        <w:pStyle w:val="Titre1"/>
      </w:pPr>
      <w:r w:rsidRPr="002F5927">
        <w:br w:type="page"/>
      </w:r>
      <w:r w:rsidRPr="002F5927">
        <w:lastRenderedPageBreak/>
        <w:t>I – Carte d’identité du fonds</w:t>
      </w:r>
      <w:r w:rsidR="00CA3B28" w:rsidRPr="002F5927">
        <w:t>/ de la stratégie</w:t>
      </w:r>
    </w:p>
    <w:p w14:paraId="3B858990" w14:textId="77777777" w:rsidR="001E6A48" w:rsidRPr="002F5927" w:rsidRDefault="001E6A48" w:rsidP="001E6A48">
      <w:pPr>
        <w:outlineLvl w:val="0"/>
        <w:rPr>
          <w:rFonts w:ascii="Arial" w:hAnsi="Arial" w:cs="Arial"/>
          <w:bCs/>
        </w:rPr>
      </w:pPr>
    </w:p>
    <w:p w14:paraId="0CFB2465" w14:textId="77777777" w:rsidR="001E6A48" w:rsidRPr="00A90518" w:rsidRDefault="001E6A48" w:rsidP="00A90518">
      <w:pPr>
        <w:pStyle w:val="Paragraphedeliste"/>
        <w:numPr>
          <w:ilvl w:val="0"/>
          <w:numId w:val="29"/>
        </w:numPr>
        <w:ind w:left="851"/>
        <w:outlineLvl w:val="0"/>
        <w:rPr>
          <w:rFonts w:ascii="Arial" w:hAnsi="Arial" w:cs="Arial"/>
          <w:bCs/>
          <w:u w:val="single"/>
        </w:rPr>
      </w:pPr>
      <w:r w:rsidRPr="00A90518">
        <w:rPr>
          <w:rFonts w:ascii="Arial" w:hAnsi="Arial" w:cs="Arial"/>
          <w:bCs/>
          <w:u w:val="single"/>
        </w:rPr>
        <w:t>Caractéristiques générales du fonds :</w:t>
      </w:r>
    </w:p>
    <w:p w14:paraId="19AFEA52" w14:textId="77777777" w:rsidR="001E6A48" w:rsidRPr="002F5927" w:rsidRDefault="001E6A48" w:rsidP="001E6A48">
      <w:pPr>
        <w:ind w:left="-360"/>
        <w:outlineLvl w:val="0"/>
        <w:rPr>
          <w:rFonts w:ascii="Arial" w:hAnsi="Arial" w:cs="Arial"/>
          <w:bCs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449"/>
        <w:gridCol w:w="2654"/>
        <w:gridCol w:w="2990"/>
      </w:tblGrid>
      <w:tr w:rsidR="001E6A48" w:rsidRPr="002F5927" w14:paraId="7A35D89F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0CBD050A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Classe d’actifs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A76FB6B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519806D8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Parts disponibles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4B778A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67929394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7EC456C0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Zone géographique / secteur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D4101DB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51F0FD02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Forme juridique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5271663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2750FB82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7D3476C5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Thématique spécifique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0BD53E2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5A47E9BB" w14:textId="77777777" w:rsidR="00342FA7" w:rsidRPr="002F5927" w:rsidRDefault="00342FA7" w:rsidP="00342FA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OPCVM </w:t>
            </w:r>
            <w:r w:rsidR="001E6A48"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(UCITS)</w:t>
            </w:r>
          </w:p>
          <w:p w14:paraId="13DE829A" w14:textId="77777777" w:rsidR="001E6A48" w:rsidRPr="002F5927" w:rsidRDefault="00342FA7" w:rsidP="00342FA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ou type de FIA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A45155A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3E6394E1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68CD6D96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Indice de référence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BF1F8A6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7CDCB405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Régulateur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9F31B1A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5DC94A5A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0D534CD0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 de création du fonds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FB68F91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29AE9CDF" w14:textId="77777777" w:rsidR="001E6A48" w:rsidRPr="002F5927" w:rsidRDefault="001E6A48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Centralisateur 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AC4DFC5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17868A52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0E364AF8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Encours global du fonds en €/date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3E6D1A0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5904D68B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Dépositaire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A77028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5E9" w:rsidRPr="002F5927" w14:paraId="1B088444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1F7532D3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Encours global de la stratégie en €/date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E2B839E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166542BB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5BDBD00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090BF146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30C6E152" w14:textId="77777777" w:rsidR="001E6A48" w:rsidRPr="002F5927" w:rsidRDefault="001E6A48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Devise de référence 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8BEDE9B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2D6EB5A7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Valorisateur</w:t>
            </w:r>
            <w:proofErr w:type="spellEnd"/>
          </w:p>
        </w:tc>
        <w:tc>
          <w:tcPr>
            <w:tcW w:w="2990" w:type="dxa"/>
            <w:shd w:val="clear" w:color="auto" w:fill="auto"/>
            <w:vAlign w:val="center"/>
          </w:tcPr>
          <w:p w14:paraId="0B3B9D3D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5E9" w:rsidRPr="002F5927" w14:paraId="50CAA536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2A33C22E" w14:textId="77777777" w:rsidR="001A15E9" w:rsidRPr="002F5927" w:rsidRDefault="00342FA7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Gérant par délégation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EAD1795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716E83CC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7C30CB1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5E9" w:rsidRPr="002F5927" w14:paraId="057298F7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0930EA54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 du gérant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49A4699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1D932A42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Auditeur / CAC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1C8F52D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5E9" w:rsidRPr="002F5927" w14:paraId="06603DBA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1862F880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Depuis quand ?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7E405E4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71C2C8ED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8A328C7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5E9" w:rsidRPr="002F5927" w14:paraId="2D9DD356" w14:textId="77777777" w:rsidTr="001E6A48">
        <w:trPr>
          <w:trHeight w:val="465"/>
          <w:jc w:val="center"/>
        </w:trPr>
        <w:tc>
          <w:tcPr>
            <w:tcW w:w="2426" w:type="dxa"/>
            <w:shd w:val="clear" w:color="auto" w:fill="1F497D" w:themeFill="text2"/>
            <w:vAlign w:val="center"/>
          </w:tcPr>
          <w:p w14:paraId="352CBD78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Gérant suppléant </w:t>
            </w:r>
          </w:p>
          <w:p w14:paraId="106D8794" w14:textId="77777777" w:rsidR="001A15E9" w:rsidRPr="002F5927" w:rsidRDefault="001A15E9" w:rsidP="001E6A48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(s’il y a lieu)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4F6EA38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1F497D" w:themeFill="text2"/>
            <w:vAlign w:val="center"/>
          </w:tcPr>
          <w:p w14:paraId="1F843BB0" w14:textId="77777777" w:rsidR="001A15E9" w:rsidRPr="002F5927" w:rsidRDefault="001A15E9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EF2A482" w14:textId="77777777" w:rsidR="001A15E9" w:rsidRPr="002F5927" w:rsidRDefault="001A15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1685B" w14:textId="77777777" w:rsidR="001E6A48" w:rsidRDefault="001E6A48" w:rsidP="001E6A48">
      <w:pPr>
        <w:ind w:left="-360"/>
        <w:outlineLvl w:val="0"/>
        <w:rPr>
          <w:rFonts w:ascii="Arial" w:hAnsi="Arial" w:cs="Arial"/>
          <w:bCs/>
        </w:rPr>
      </w:pPr>
    </w:p>
    <w:p w14:paraId="1CBE96D5" w14:textId="77777777" w:rsidR="00C507EC" w:rsidRDefault="00C507EC" w:rsidP="001E6A48">
      <w:pPr>
        <w:ind w:left="-360"/>
        <w:outlineLvl w:val="0"/>
        <w:rPr>
          <w:rFonts w:ascii="Arial" w:hAnsi="Arial" w:cs="Arial"/>
          <w:bCs/>
        </w:rPr>
      </w:pPr>
    </w:p>
    <w:p w14:paraId="56AD1BF4" w14:textId="77777777" w:rsidR="00C507EC" w:rsidRDefault="00C507EC" w:rsidP="001E6A48">
      <w:pPr>
        <w:ind w:left="-360"/>
        <w:outlineLvl w:val="0"/>
        <w:rPr>
          <w:rFonts w:ascii="Arial" w:hAnsi="Arial" w:cs="Arial"/>
          <w:bCs/>
        </w:rPr>
      </w:pPr>
    </w:p>
    <w:p w14:paraId="40E83621" w14:textId="77777777" w:rsidR="001E6A48" w:rsidRPr="00A90518" w:rsidRDefault="001E6A48" w:rsidP="00A90518">
      <w:pPr>
        <w:pStyle w:val="Paragraphedeliste"/>
        <w:numPr>
          <w:ilvl w:val="0"/>
          <w:numId w:val="29"/>
        </w:numPr>
        <w:ind w:left="851"/>
        <w:outlineLvl w:val="0"/>
        <w:rPr>
          <w:rFonts w:ascii="Arial" w:hAnsi="Arial" w:cs="Arial"/>
          <w:bCs/>
          <w:u w:val="single"/>
        </w:rPr>
      </w:pPr>
      <w:r w:rsidRPr="00A90518">
        <w:rPr>
          <w:rFonts w:ascii="Arial" w:hAnsi="Arial" w:cs="Arial"/>
          <w:bCs/>
          <w:u w:val="single"/>
        </w:rPr>
        <w:t>Caractéristiques de la part ou des parts présentées :</w:t>
      </w:r>
    </w:p>
    <w:p w14:paraId="27717392" w14:textId="77777777" w:rsidR="001E6A48" w:rsidRPr="002F5927" w:rsidRDefault="001E6A48" w:rsidP="001E6A48">
      <w:pPr>
        <w:ind w:left="-360"/>
        <w:outlineLvl w:val="0"/>
        <w:rPr>
          <w:rFonts w:ascii="Arial" w:hAnsi="Arial" w:cs="Arial"/>
          <w:bCs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370"/>
        <w:gridCol w:w="2591"/>
        <w:gridCol w:w="2990"/>
      </w:tblGrid>
      <w:tr w:rsidR="001E6A48" w:rsidRPr="002F5927" w14:paraId="17903208" w14:textId="77777777" w:rsidTr="00C507EC">
        <w:trPr>
          <w:trHeight w:val="465"/>
          <w:jc w:val="center"/>
        </w:trPr>
        <w:tc>
          <w:tcPr>
            <w:tcW w:w="2568" w:type="dxa"/>
            <w:shd w:val="clear" w:color="auto" w:fill="1F497D" w:themeFill="text2"/>
            <w:vAlign w:val="center"/>
          </w:tcPr>
          <w:p w14:paraId="466B6AE0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Devise de la part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EFEE1E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1F497D" w:themeFill="text2"/>
            <w:vAlign w:val="center"/>
          </w:tcPr>
          <w:p w14:paraId="0C8EA71B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Codes ISIN </w:t>
            </w:r>
          </w:p>
          <w:p w14:paraId="57AD5EBF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Fonds/part présentée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118981C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0646F79F" w14:textId="77777777" w:rsidTr="00C507EC">
        <w:trPr>
          <w:trHeight w:val="465"/>
          <w:jc w:val="center"/>
        </w:trPr>
        <w:tc>
          <w:tcPr>
            <w:tcW w:w="2568" w:type="dxa"/>
            <w:shd w:val="clear" w:color="auto" w:fill="1F497D" w:themeFill="text2"/>
            <w:vAlign w:val="center"/>
          </w:tcPr>
          <w:p w14:paraId="11DC17CE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Couverture du change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89E478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1F497D" w:themeFill="text2"/>
            <w:vAlign w:val="center"/>
          </w:tcPr>
          <w:p w14:paraId="1C0EB6FF" w14:textId="36410DF6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Code Bloomberg </w:t>
            </w:r>
            <w:r w:rsidR="00881BE9">
              <w:rPr>
                <w:rStyle w:val="Appelnotedebasdep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</w:p>
          <w:p w14:paraId="7B8F2196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Fonds/part présentée 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D08663D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03916FD0" w14:textId="77777777" w:rsidTr="00C507EC">
        <w:trPr>
          <w:trHeight w:val="465"/>
          <w:jc w:val="center"/>
        </w:trPr>
        <w:tc>
          <w:tcPr>
            <w:tcW w:w="2568" w:type="dxa"/>
            <w:shd w:val="clear" w:color="auto" w:fill="1F497D" w:themeFill="text2"/>
            <w:vAlign w:val="center"/>
          </w:tcPr>
          <w:p w14:paraId="6B9650D9" w14:textId="77777777" w:rsidR="001E6A48" w:rsidRPr="002F5927" w:rsidRDefault="001E6A48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Capitalisation/ Distribution  des revenus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A8769E" w14:textId="77777777" w:rsidR="001E6A48" w:rsidRPr="002F5927" w:rsidRDefault="005740BF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2F5927">
              <w:rPr>
                <w:rFonts w:ascii="Arial" w:hAnsi="Arial" w:cs="Arial"/>
                <w:sz w:val="20"/>
                <w:szCs w:val="20"/>
              </w:rPr>
              <w:t>C, D, C/D</w:t>
            </w:r>
          </w:p>
        </w:tc>
        <w:tc>
          <w:tcPr>
            <w:tcW w:w="2591" w:type="dxa"/>
            <w:shd w:val="clear" w:color="auto" w:fill="1F497D" w:themeFill="text2"/>
            <w:vAlign w:val="center"/>
          </w:tcPr>
          <w:p w14:paraId="59DB4085" w14:textId="29784A5B" w:rsidR="001E6A48" w:rsidRPr="002F5927" w:rsidRDefault="001E6A48" w:rsidP="00881BE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Code GIIN</w:t>
            </w:r>
            <w:r w:rsidR="00881BE9">
              <w:rPr>
                <w:rStyle w:val="Appelnotedebasdep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B472634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48" w:rsidRPr="002F5927" w14:paraId="465A026D" w14:textId="77777777" w:rsidTr="00C507EC">
        <w:trPr>
          <w:trHeight w:val="465"/>
          <w:jc w:val="center"/>
        </w:trPr>
        <w:tc>
          <w:tcPr>
            <w:tcW w:w="2568" w:type="dxa"/>
            <w:shd w:val="clear" w:color="auto" w:fill="1F497D" w:themeFill="text2"/>
            <w:vAlign w:val="center"/>
          </w:tcPr>
          <w:p w14:paraId="7D7B26A5" w14:textId="77777777" w:rsidR="001E6A48" w:rsidRPr="002F5927" w:rsidRDefault="001E6A48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Pays d’enregistrement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8868EF6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1F497D" w:themeFill="text2"/>
            <w:vAlign w:val="center"/>
          </w:tcPr>
          <w:p w14:paraId="5D27597E" w14:textId="115D6DF3" w:rsidR="001E6A48" w:rsidRPr="002F5927" w:rsidRDefault="00A41062" w:rsidP="001E6A48">
            <w:pP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Code RIC</w:t>
            </w:r>
            <w:r w:rsidR="00881BE9">
              <w:rPr>
                <w:rStyle w:val="Appelnotedebasdep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3"/>
            </w: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(Thomson Reuters) de la part</w:t>
            </w:r>
            <w:r w:rsidR="00363A57"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présentée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9A126CA" w14:textId="77777777" w:rsidR="001E6A48" w:rsidRPr="002F5927" w:rsidRDefault="001E6A48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BE9" w:rsidRPr="002F5927" w14:paraId="57A809BD" w14:textId="77777777" w:rsidTr="00C507EC">
        <w:trPr>
          <w:trHeight w:val="465"/>
          <w:jc w:val="center"/>
        </w:trPr>
        <w:tc>
          <w:tcPr>
            <w:tcW w:w="2568" w:type="dxa"/>
            <w:shd w:val="clear" w:color="auto" w:fill="1F497D" w:themeFill="text2"/>
            <w:vAlign w:val="center"/>
          </w:tcPr>
          <w:p w14:paraId="5B227B4F" w14:textId="12205193" w:rsidR="00881BE9" w:rsidRPr="002F5927" w:rsidRDefault="00881BE9" w:rsidP="00A545E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Disponibilité sur les plates-formes </w:t>
            </w:r>
            <w:r w:rsidR="00A545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4069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le cas échéant, </w:t>
            </w:r>
            <w:r w:rsidR="00A545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et lesquelles ?)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E16B87" w14:textId="77777777" w:rsidR="00881BE9" w:rsidRPr="002F5927" w:rsidRDefault="00881B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1F497D" w:themeFill="text2"/>
            <w:vAlign w:val="center"/>
          </w:tcPr>
          <w:p w14:paraId="66E6EE1C" w14:textId="3AC9D27E" w:rsidR="00881BE9" w:rsidRPr="002F5927" w:rsidRDefault="00F97722" w:rsidP="00C2146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449A0BB" w14:textId="77777777" w:rsidR="00881BE9" w:rsidRPr="002F5927" w:rsidRDefault="00881BE9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F689E" w14:textId="7E8BD8C0" w:rsidR="001E6A48" w:rsidRPr="002F5927" w:rsidRDefault="001E6A48" w:rsidP="001E6A48"/>
    <w:p w14:paraId="5D3D72E7" w14:textId="77777777" w:rsidR="00CE6368" w:rsidRPr="002F5927" w:rsidRDefault="00CE6368" w:rsidP="001E6A48"/>
    <w:p w14:paraId="196DEB5A" w14:textId="77777777" w:rsidR="00CE6368" w:rsidRPr="002F5927" w:rsidRDefault="00CE6368" w:rsidP="001E6A48"/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5351"/>
      </w:tblGrid>
      <w:tr w:rsidR="006F2585" w:rsidRPr="002F5927" w14:paraId="49B9FA33" w14:textId="77777777" w:rsidTr="002F5927">
        <w:trPr>
          <w:trHeight w:val="465"/>
          <w:jc w:val="center"/>
        </w:trPr>
        <w:tc>
          <w:tcPr>
            <w:tcW w:w="10519" w:type="dxa"/>
            <w:gridSpan w:val="2"/>
            <w:shd w:val="clear" w:color="auto" w:fill="1F497D" w:themeFill="text2"/>
            <w:vAlign w:val="center"/>
          </w:tcPr>
          <w:p w14:paraId="28EA9099" w14:textId="77777777" w:rsidR="006F2585" w:rsidRPr="00D36D86" w:rsidRDefault="006F2585" w:rsidP="001B4A4E">
            <w:pPr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Frais de gestion (données date clôture DICI)</w:t>
            </w:r>
          </w:p>
        </w:tc>
      </w:tr>
      <w:tr w:rsidR="006F2585" w:rsidRPr="002F5927" w14:paraId="00DDE1B6" w14:textId="77777777" w:rsidTr="002F5927">
        <w:trPr>
          <w:trHeight w:val="465"/>
          <w:jc w:val="center"/>
        </w:trPr>
        <w:tc>
          <w:tcPr>
            <w:tcW w:w="5168" w:type="dxa"/>
            <w:shd w:val="clear" w:color="auto" w:fill="1F497D" w:themeFill="text2"/>
            <w:vAlign w:val="center"/>
          </w:tcPr>
          <w:p w14:paraId="7EC04E57" w14:textId="77777777" w:rsidR="006F2585" w:rsidRPr="00D36D86" w:rsidRDefault="006F2585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 clôture exercice du fonds (cf. DICI)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28A5B50" w14:textId="77777777" w:rsidR="006F2585" w:rsidRPr="00D36D86" w:rsidRDefault="006F2585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585" w:rsidRPr="002F5927" w14:paraId="4ED2B138" w14:textId="77777777" w:rsidTr="002F5927">
        <w:trPr>
          <w:trHeight w:val="465"/>
          <w:jc w:val="center"/>
        </w:trPr>
        <w:tc>
          <w:tcPr>
            <w:tcW w:w="5168" w:type="dxa"/>
            <w:shd w:val="clear" w:color="auto" w:fill="1F497D" w:themeFill="text2"/>
            <w:vAlign w:val="center"/>
          </w:tcPr>
          <w:p w14:paraId="5B28A7D5" w14:textId="77777777" w:rsidR="006F2585" w:rsidRPr="00D36D86" w:rsidRDefault="006F2585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Frais fixes maximum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1BB705F" w14:textId="77777777" w:rsidR="006F2585" w:rsidRPr="00D36D86" w:rsidRDefault="006F2585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585" w:rsidRPr="002F5927" w14:paraId="1D5F122E" w14:textId="77777777" w:rsidTr="002F5927">
        <w:trPr>
          <w:trHeight w:val="465"/>
          <w:jc w:val="center"/>
        </w:trPr>
        <w:tc>
          <w:tcPr>
            <w:tcW w:w="5168" w:type="dxa"/>
            <w:shd w:val="clear" w:color="auto" w:fill="1F497D" w:themeFill="text2"/>
            <w:vAlign w:val="center"/>
          </w:tcPr>
          <w:p w14:paraId="03E5A0D7" w14:textId="77777777" w:rsidR="006F2585" w:rsidRPr="00D36D86" w:rsidRDefault="006F2585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Commission de surperformance ?</w:t>
            </w:r>
          </w:p>
        </w:tc>
        <w:tc>
          <w:tcPr>
            <w:tcW w:w="5351" w:type="dxa"/>
            <w:shd w:val="clear" w:color="auto" w:fill="FFFFFF" w:themeFill="background1"/>
            <w:vAlign w:val="center"/>
          </w:tcPr>
          <w:p w14:paraId="1B581660" w14:textId="77777777" w:rsidR="006F2585" w:rsidRPr="00D36D86" w:rsidRDefault="006F2585" w:rsidP="001B4A4E">
            <w:pPr>
              <w:rPr>
                <w:rFonts w:ascii="Arial" w:hAnsi="Arial" w:cs="Arial"/>
                <w:sz w:val="20"/>
                <w:szCs w:val="20"/>
              </w:rPr>
            </w:pPr>
            <w:r w:rsidRPr="00D36D86">
              <w:rPr>
                <w:rFonts w:ascii="Arial" w:hAnsi="Arial" w:cs="Arial"/>
                <w:sz w:val="20"/>
                <w:szCs w:val="20"/>
              </w:rPr>
              <w:t>Oui/Non</w:t>
            </w:r>
          </w:p>
        </w:tc>
      </w:tr>
      <w:tr w:rsidR="006F2585" w:rsidRPr="002F5927" w14:paraId="442BBC79" w14:textId="77777777" w:rsidTr="002F5927">
        <w:trPr>
          <w:trHeight w:val="465"/>
          <w:jc w:val="center"/>
        </w:trPr>
        <w:tc>
          <w:tcPr>
            <w:tcW w:w="5168" w:type="dxa"/>
            <w:shd w:val="clear" w:color="auto" w:fill="1F497D" w:themeFill="text2"/>
            <w:vAlign w:val="center"/>
          </w:tcPr>
          <w:p w14:paraId="6349361E" w14:textId="77777777" w:rsidR="006F2585" w:rsidRPr="00D36D86" w:rsidRDefault="006F2585" w:rsidP="001B4A4E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Mode de calcul</w:t>
            </w:r>
          </w:p>
          <w:p w14:paraId="0AADFAB6" w14:textId="77777777" w:rsidR="006F2585" w:rsidRPr="00D36D86" w:rsidRDefault="006F2585" w:rsidP="001B4A4E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 xml:space="preserve"> (High Water Mark, Fréquence, ….)   :</w:t>
            </w:r>
          </w:p>
        </w:tc>
        <w:tc>
          <w:tcPr>
            <w:tcW w:w="5351" w:type="dxa"/>
            <w:shd w:val="clear" w:color="auto" w:fill="FFFFFF" w:themeFill="background1"/>
            <w:vAlign w:val="center"/>
          </w:tcPr>
          <w:p w14:paraId="4F77DB7A" w14:textId="77777777" w:rsidR="006F2585" w:rsidRPr="00D36D86" w:rsidRDefault="006F2585" w:rsidP="001B4A4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F2585" w:rsidRPr="002F5927" w14:paraId="303E0805" w14:textId="77777777" w:rsidTr="002F5927">
        <w:trPr>
          <w:trHeight w:val="456"/>
          <w:jc w:val="center"/>
        </w:trPr>
        <w:tc>
          <w:tcPr>
            <w:tcW w:w="5168" w:type="dxa"/>
            <w:shd w:val="clear" w:color="auto" w:fill="1F497D" w:themeFill="text2"/>
            <w:vAlign w:val="center"/>
          </w:tcPr>
          <w:p w14:paraId="5CEA5009" w14:textId="77777777" w:rsidR="006F2585" w:rsidRPr="00D36D86" w:rsidRDefault="006F2585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Formule de calcul</w:t>
            </w:r>
          </w:p>
        </w:tc>
        <w:tc>
          <w:tcPr>
            <w:tcW w:w="5351" w:type="dxa"/>
            <w:shd w:val="clear" w:color="auto" w:fill="FFFFFF" w:themeFill="background1"/>
            <w:vAlign w:val="center"/>
          </w:tcPr>
          <w:p w14:paraId="240D608F" w14:textId="77777777" w:rsidR="006F2585" w:rsidRPr="00D36D86" w:rsidRDefault="006F2585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585" w:rsidRPr="002F5927" w14:paraId="2392FC93" w14:textId="77777777" w:rsidTr="002F5927">
        <w:trPr>
          <w:trHeight w:val="406"/>
          <w:jc w:val="center"/>
        </w:trPr>
        <w:tc>
          <w:tcPr>
            <w:tcW w:w="5168" w:type="dxa"/>
            <w:shd w:val="clear" w:color="auto" w:fill="1F497D" w:themeFill="text2"/>
            <w:vAlign w:val="center"/>
          </w:tcPr>
          <w:p w14:paraId="56C678E3" w14:textId="77777777" w:rsidR="006F2585" w:rsidRPr="00D36D86" w:rsidRDefault="006F2585" w:rsidP="006F25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Frais Courants 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7188AD6" w14:textId="77777777" w:rsidR="006F2585" w:rsidRPr="00D36D86" w:rsidRDefault="006F2585" w:rsidP="001B4A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D8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F2585" w:rsidRPr="002F5927" w14:paraId="2BCCC97C" w14:textId="77777777" w:rsidTr="002F5927">
        <w:trPr>
          <w:trHeight w:val="285"/>
          <w:jc w:val="center"/>
        </w:trPr>
        <w:tc>
          <w:tcPr>
            <w:tcW w:w="5168" w:type="dxa"/>
            <w:shd w:val="clear" w:color="auto" w:fill="1F497D" w:themeFill="text2"/>
            <w:vAlign w:val="center"/>
          </w:tcPr>
          <w:p w14:paraId="58F05C28" w14:textId="7DB59BE9" w:rsidR="006F2585" w:rsidRPr="00D36D86" w:rsidRDefault="00A545E3" w:rsidP="001B4A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Niveau des </w:t>
            </w:r>
            <w:r w:rsidR="006F2585"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commission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6F2585" w:rsidRPr="00D36D8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surperformance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80C52AF" w14:textId="77777777" w:rsidR="006F2585" w:rsidRPr="00D36D86" w:rsidRDefault="006F2585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A5F94" w14:textId="77777777" w:rsidR="006F2585" w:rsidRPr="002F5927" w:rsidRDefault="006F2585" w:rsidP="001E6A48"/>
    <w:p w14:paraId="2811A030" w14:textId="77777777" w:rsidR="006F2585" w:rsidRPr="002F5927" w:rsidRDefault="006F2585" w:rsidP="001E6A48"/>
    <w:tbl>
      <w:tblPr>
        <w:tblW w:w="5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848"/>
      </w:tblGrid>
      <w:tr w:rsidR="006F2585" w:rsidRPr="002F5927" w14:paraId="3ECAF016" w14:textId="77777777" w:rsidTr="006F2585">
        <w:trPr>
          <w:trHeight w:val="465"/>
          <w:jc w:val="center"/>
        </w:trPr>
        <w:tc>
          <w:tcPr>
            <w:tcW w:w="5581" w:type="dxa"/>
            <w:gridSpan w:val="2"/>
            <w:shd w:val="clear" w:color="auto" w:fill="1F497D" w:themeFill="text2"/>
            <w:vAlign w:val="center"/>
          </w:tcPr>
          <w:p w14:paraId="473B08BC" w14:textId="77777777" w:rsidR="006F2585" w:rsidRPr="002F5927" w:rsidRDefault="006F2585" w:rsidP="001E6A48">
            <w:pPr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Modalités de passation des ordres</w:t>
            </w:r>
          </w:p>
        </w:tc>
      </w:tr>
      <w:tr w:rsidR="006F2585" w:rsidRPr="002F5927" w14:paraId="5AC85F8E" w14:textId="77777777" w:rsidTr="006F2585">
        <w:trPr>
          <w:trHeight w:val="465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0A694307" w14:textId="77777777" w:rsidR="006F2585" w:rsidRPr="002F5927" w:rsidRDefault="006F2585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Fréquence de valorisation 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033D1E84" w14:textId="77777777" w:rsidR="006F2585" w:rsidRPr="002F5927" w:rsidRDefault="006F2585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2F5927">
              <w:rPr>
                <w:rFonts w:ascii="Arial" w:hAnsi="Arial" w:cs="Arial"/>
                <w:sz w:val="20"/>
                <w:szCs w:val="20"/>
              </w:rPr>
              <w:t>Quotidienne, ... ?</w:t>
            </w:r>
          </w:p>
        </w:tc>
      </w:tr>
      <w:tr w:rsidR="006F2585" w:rsidRPr="002F5927" w14:paraId="4EDDB5FA" w14:textId="77777777" w:rsidTr="006F2585">
        <w:trPr>
          <w:trHeight w:val="465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5406ADDE" w14:textId="77777777" w:rsidR="006F2585" w:rsidRPr="002F5927" w:rsidRDefault="006F2585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Décimalisation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F4901FB" w14:textId="77777777" w:rsidR="006F2585" w:rsidRPr="002F5927" w:rsidRDefault="006F2585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585" w:rsidRPr="002F5927" w14:paraId="0C8F6E69" w14:textId="77777777" w:rsidTr="006F2585">
        <w:trPr>
          <w:trHeight w:val="427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2A9B0FB6" w14:textId="77777777" w:rsidR="006F2585" w:rsidRPr="002F5927" w:rsidRDefault="006F2585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Droits d’entrée 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9B6956E" w14:textId="77777777" w:rsidR="006F2585" w:rsidRPr="002F5927" w:rsidRDefault="006F2585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2F59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F2585" w:rsidRPr="002F5927" w14:paraId="3F5E9EF8" w14:textId="77777777" w:rsidTr="006F2585">
        <w:trPr>
          <w:trHeight w:val="465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758B76A0" w14:textId="77777777" w:rsidR="006F2585" w:rsidRPr="002F5927" w:rsidRDefault="006F2585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Droits de sortie 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0252D915" w14:textId="77777777" w:rsidR="006F2585" w:rsidRPr="002F5927" w:rsidRDefault="006F2585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2F59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F2585" w:rsidRPr="002F5927" w14:paraId="3887E977" w14:textId="77777777" w:rsidTr="006F2585">
        <w:trPr>
          <w:trHeight w:val="465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2C056D9C" w14:textId="77777777" w:rsidR="006F2585" w:rsidRPr="002F5927" w:rsidRDefault="006F2585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Mode de souscription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74AB829" w14:textId="77777777" w:rsidR="006F2585" w:rsidRPr="002F5927" w:rsidRDefault="006F2585" w:rsidP="001E6A48">
            <w:pPr>
              <w:rPr>
                <w:rFonts w:ascii="Arial" w:hAnsi="Arial" w:cs="Arial"/>
                <w:sz w:val="20"/>
                <w:szCs w:val="20"/>
              </w:rPr>
            </w:pPr>
            <w:r w:rsidRPr="002F5927">
              <w:rPr>
                <w:rFonts w:ascii="Arial" w:hAnsi="Arial" w:cs="Arial"/>
                <w:sz w:val="20"/>
                <w:szCs w:val="20"/>
              </w:rPr>
              <w:t>Cours connu / cours inconnu</w:t>
            </w:r>
          </w:p>
        </w:tc>
      </w:tr>
      <w:tr w:rsidR="006F2585" w:rsidRPr="002F5927" w14:paraId="3D32946E" w14:textId="77777777" w:rsidTr="006F2585">
        <w:trPr>
          <w:trHeight w:val="548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51145BA3" w14:textId="77777777" w:rsidR="006F2585" w:rsidRPr="002F5927" w:rsidRDefault="006F2585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Montant minimal</w:t>
            </w:r>
          </w:p>
          <w:p w14:paraId="150C5B27" w14:textId="77777777" w:rsidR="006F2585" w:rsidRPr="002F5927" w:rsidRDefault="006F2585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Souscription initiale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6119FF7" w14:textId="77777777" w:rsidR="006F2585" w:rsidRPr="002F5927" w:rsidRDefault="006F2585" w:rsidP="001E6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585" w:rsidRPr="002F5927" w14:paraId="4EBBDA1E" w14:textId="77777777" w:rsidTr="006F2585">
        <w:trPr>
          <w:trHeight w:val="456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587527A9" w14:textId="77777777" w:rsidR="006F2585" w:rsidRPr="002F5927" w:rsidRDefault="006F2585" w:rsidP="001E6A4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Montant minimal</w:t>
            </w:r>
          </w:p>
          <w:p w14:paraId="217F6739" w14:textId="77777777" w:rsidR="006F2585" w:rsidRPr="002F5927" w:rsidRDefault="006F2585" w:rsidP="001E6A48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Souscription ultérieure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FA7AD9B" w14:textId="77777777" w:rsidR="006F2585" w:rsidRPr="002F5927" w:rsidRDefault="006F2585" w:rsidP="001E6A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2585" w:rsidRPr="002F5927" w14:paraId="29B8F9D7" w14:textId="77777777" w:rsidTr="006F2585">
        <w:trPr>
          <w:trHeight w:val="406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17AB7D54" w14:textId="77777777" w:rsidR="006F2585" w:rsidRPr="002F5927" w:rsidRDefault="006F2585" w:rsidP="006F258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Swingpricing</w:t>
            </w:r>
            <w:proofErr w:type="spellEnd"/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8F3BD7C" w14:textId="77777777" w:rsidR="006F2585" w:rsidRPr="002F5927" w:rsidRDefault="006F2585" w:rsidP="00BE18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2585" w:rsidRPr="002F5927" w14:paraId="23C28F4B" w14:textId="77777777" w:rsidTr="006F2585">
        <w:trPr>
          <w:trHeight w:val="406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7CFBC90D" w14:textId="77777777" w:rsidR="006F2585" w:rsidRPr="002F5927" w:rsidRDefault="006F2585" w:rsidP="00BE1889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Délai de règlement (J+ ?)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25CF8D3" w14:textId="77777777" w:rsidR="006F2585" w:rsidRPr="002F5927" w:rsidRDefault="006F2585" w:rsidP="00BE18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2585" w:rsidRPr="002F5927" w14:paraId="54F17AE4" w14:textId="77777777" w:rsidTr="006F2585">
        <w:trPr>
          <w:trHeight w:val="285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7A000583" w14:textId="77777777" w:rsidR="006F2585" w:rsidRPr="002F5927" w:rsidRDefault="006F2585" w:rsidP="00BE1889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Heure limite de passage 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DE0678D" w14:textId="77777777" w:rsidR="006F2585" w:rsidRPr="002F5927" w:rsidRDefault="006F2585" w:rsidP="00BE1889">
            <w:pPr>
              <w:rPr>
                <w:rFonts w:ascii="Arial" w:hAnsi="Arial" w:cs="Arial"/>
                <w:sz w:val="20"/>
                <w:szCs w:val="20"/>
              </w:rPr>
            </w:pPr>
            <w:r w:rsidRPr="002F5927">
              <w:rPr>
                <w:rFonts w:ascii="Arial" w:hAnsi="Arial" w:cs="Arial"/>
                <w:sz w:val="20"/>
                <w:szCs w:val="20"/>
              </w:rPr>
              <w:t>J-n 12heures (Heure de Paris) au centralisateur</w:t>
            </w:r>
          </w:p>
        </w:tc>
      </w:tr>
      <w:tr w:rsidR="006F2585" w:rsidRPr="002F5927" w14:paraId="78F63C2B" w14:textId="77777777" w:rsidTr="006F2585">
        <w:trPr>
          <w:trHeight w:val="465"/>
          <w:jc w:val="center"/>
        </w:trPr>
        <w:tc>
          <w:tcPr>
            <w:tcW w:w="2733" w:type="dxa"/>
            <w:shd w:val="clear" w:color="auto" w:fill="1F497D" w:themeFill="text2"/>
            <w:vAlign w:val="center"/>
          </w:tcPr>
          <w:p w14:paraId="4F04619B" w14:textId="77777777" w:rsidR="006F2585" w:rsidRPr="002F5927" w:rsidRDefault="006F2585" w:rsidP="00BE1889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Préavis de rachat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6215CE9" w14:textId="77777777" w:rsidR="006F2585" w:rsidRPr="002F5927" w:rsidRDefault="006F2585" w:rsidP="00BE1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F429F" w14:textId="77777777" w:rsidR="00A90518" w:rsidRDefault="00A90518" w:rsidP="00CE6368">
      <w:pPr>
        <w:rPr>
          <w:rFonts w:ascii="Arial" w:hAnsi="Arial" w:cs="Arial"/>
          <w:u w:val="single"/>
        </w:rPr>
      </w:pPr>
    </w:p>
    <w:p w14:paraId="5C5B911F" w14:textId="77777777" w:rsidR="00CE6368" w:rsidRPr="00D36D86" w:rsidRDefault="00FC112F" w:rsidP="00D36D86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 w:rsidRPr="00D36D86">
        <w:rPr>
          <w:rFonts w:ascii="Arial" w:hAnsi="Arial" w:cs="Arial"/>
        </w:rPr>
        <w:t xml:space="preserve">Les opérations de l’OPC </w:t>
      </w:r>
      <w:proofErr w:type="spellStart"/>
      <w:r w:rsidRPr="00D36D86">
        <w:rPr>
          <w:rFonts w:ascii="Arial" w:hAnsi="Arial" w:cs="Arial"/>
        </w:rPr>
        <w:t>font-elles</w:t>
      </w:r>
      <w:proofErr w:type="spellEnd"/>
      <w:r w:rsidRPr="00D36D86">
        <w:rPr>
          <w:rFonts w:ascii="Arial" w:hAnsi="Arial" w:cs="Arial"/>
        </w:rPr>
        <w:t xml:space="preserve"> l’objet de commissions de mouvement ? Si oui, préciser les modalités.</w:t>
      </w:r>
    </w:p>
    <w:p w14:paraId="3FDB376A" w14:textId="77777777" w:rsidR="00CE6368" w:rsidRPr="002F5927" w:rsidRDefault="00CE6368" w:rsidP="00CE6368">
      <w:pPr>
        <w:rPr>
          <w:rFonts w:ascii="Arial" w:hAnsi="Arial" w:cs="Arial"/>
          <w:u w:val="single"/>
        </w:rPr>
      </w:pPr>
    </w:p>
    <w:p w14:paraId="57E9BF96" w14:textId="77777777" w:rsidR="00CE6368" w:rsidRPr="002F5927" w:rsidRDefault="00CE6368" w:rsidP="00CE6368">
      <w:pPr>
        <w:rPr>
          <w:rFonts w:ascii="Arial" w:hAnsi="Arial" w:cs="Arial"/>
          <w:u w:val="single"/>
        </w:rPr>
      </w:pPr>
    </w:p>
    <w:p w14:paraId="3D67D4C7" w14:textId="77777777" w:rsidR="00CE6368" w:rsidRPr="002F5927" w:rsidRDefault="00CE6368" w:rsidP="001E6A48">
      <w:pPr>
        <w:ind w:left="-426" w:right="-144"/>
        <w:rPr>
          <w:rFonts w:ascii="Arial" w:hAnsi="Arial" w:cs="Arial"/>
          <w:u w:val="single"/>
        </w:rPr>
      </w:pPr>
    </w:p>
    <w:p w14:paraId="535AB6BA" w14:textId="77777777" w:rsidR="00A90518" w:rsidRDefault="00A90518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A20CEA4" w14:textId="77777777" w:rsidR="00CE6368" w:rsidRPr="00A90518" w:rsidRDefault="00CE6368" w:rsidP="00A90518">
      <w:pPr>
        <w:pStyle w:val="Paragraphedeliste"/>
        <w:numPr>
          <w:ilvl w:val="0"/>
          <w:numId w:val="29"/>
        </w:numPr>
        <w:ind w:left="851" w:right="-144"/>
        <w:rPr>
          <w:rFonts w:ascii="Arial" w:hAnsi="Arial" w:cs="Arial"/>
          <w:u w:val="single"/>
        </w:rPr>
      </w:pPr>
      <w:r w:rsidRPr="00A90518">
        <w:rPr>
          <w:rFonts w:ascii="Arial" w:hAnsi="Arial" w:cs="Arial"/>
          <w:u w:val="single"/>
        </w:rPr>
        <w:lastRenderedPageBreak/>
        <w:t xml:space="preserve">Frais de gestion </w:t>
      </w:r>
    </w:p>
    <w:p w14:paraId="37A457F3" w14:textId="77777777" w:rsidR="00CE6368" w:rsidRPr="002F5927" w:rsidRDefault="00CE6368" w:rsidP="001E6A48">
      <w:pPr>
        <w:ind w:left="-426" w:right="-144"/>
        <w:rPr>
          <w:rFonts w:ascii="Arial" w:hAnsi="Arial" w:cs="Arial"/>
          <w:u w:val="single"/>
        </w:rPr>
      </w:pPr>
    </w:p>
    <w:p w14:paraId="36CECE1C" w14:textId="77777777" w:rsidR="00BE43A1" w:rsidRPr="002F5927" w:rsidRDefault="001E6A48" w:rsidP="001E6A48">
      <w:pPr>
        <w:ind w:left="-426" w:right="-144"/>
        <w:rPr>
          <w:rFonts w:ascii="Arial" w:hAnsi="Arial" w:cs="Arial"/>
          <w:bCs/>
        </w:rPr>
      </w:pPr>
      <w:r w:rsidRPr="002F5927">
        <w:rPr>
          <w:rFonts w:ascii="Arial" w:hAnsi="Arial" w:cs="Arial"/>
          <w:bCs/>
        </w:rPr>
        <w:t>Compléter la liste des postes de coût du portefeuille selon les exigences la réglementation MIF</w:t>
      </w:r>
      <w:r w:rsidR="00BE43A1" w:rsidRPr="002F5927">
        <w:rPr>
          <w:rFonts w:ascii="Arial" w:hAnsi="Arial" w:cs="Arial"/>
          <w:bCs/>
        </w:rPr>
        <w:t xml:space="preserve"> : </w:t>
      </w:r>
    </w:p>
    <w:p w14:paraId="36C5D0EE" w14:textId="77777777" w:rsidR="00BE43A1" w:rsidRPr="002F5927" w:rsidRDefault="00BE43A1" w:rsidP="002F5927">
      <w:pPr>
        <w:pStyle w:val="Paragraphedeliste"/>
        <w:numPr>
          <w:ilvl w:val="0"/>
          <w:numId w:val="27"/>
        </w:numPr>
        <w:ind w:right="-144"/>
        <w:rPr>
          <w:rFonts w:ascii="Arial" w:hAnsi="Arial" w:cs="Arial"/>
          <w:bCs/>
        </w:rPr>
      </w:pPr>
      <w:r w:rsidRPr="00762C56">
        <w:rPr>
          <w:rFonts w:ascii="Arial" w:hAnsi="Arial" w:cs="Arial"/>
          <w:bCs/>
        </w:rPr>
        <w:t>Frais uniques</w:t>
      </w:r>
    </w:p>
    <w:p w14:paraId="5DECFC3F" w14:textId="77777777" w:rsidR="00BE43A1" w:rsidRPr="002F5927" w:rsidRDefault="00BE43A1" w:rsidP="002F5927">
      <w:pPr>
        <w:pStyle w:val="Paragraphedeliste"/>
        <w:numPr>
          <w:ilvl w:val="0"/>
          <w:numId w:val="27"/>
        </w:numPr>
        <w:ind w:right="-144"/>
        <w:rPr>
          <w:rFonts w:ascii="Arial" w:hAnsi="Arial" w:cs="Arial"/>
          <w:bCs/>
        </w:rPr>
      </w:pPr>
      <w:r w:rsidRPr="00762C56">
        <w:rPr>
          <w:rFonts w:ascii="Arial" w:hAnsi="Arial" w:cs="Arial"/>
          <w:bCs/>
        </w:rPr>
        <w:t>Frais récurrents</w:t>
      </w:r>
    </w:p>
    <w:p w14:paraId="6795E928" w14:textId="77777777" w:rsidR="00BE43A1" w:rsidRPr="002F5927" w:rsidRDefault="00BE43A1" w:rsidP="002F5927">
      <w:pPr>
        <w:pStyle w:val="Paragraphedeliste"/>
        <w:numPr>
          <w:ilvl w:val="0"/>
          <w:numId w:val="27"/>
        </w:numPr>
        <w:ind w:right="-144"/>
        <w:rPr>
          <w:rFonts w:ascii="Arial" w:hAnsi="Arial" w:cs="Arial"/>
          <w:bCs/>
        </w:rPr>
      </w:pPr>
      <w:r w:rsidRPr="00762C56">
        <w:rPr>
          <w:rFonts w:ascii="Arial" w:hAnsi="Arial" w:cs="Arial"/>
          <w:bCs/>
        </w:rPr>
        <w:t>Frais de transaction</w:t>
      </w:r>
    </w:p>
    <w:p w14:paraId="7D1E8F6D" w14:textId="77777777" w:rsidR="00BE43A1" w:rsidRPr="002F5927" w:rsidRDefault="00BE43A1" w:rsidP="002F5927">
      <w:pPr>
        <w:pStyle w:val="Paragraphedeliste"/>
        <w:numPr>
          <w:ilvl w:val="0"/>
          <w:numId w:val="27"/>
        </w:numPr>
        <w:ind w:right="-144"/>
        <w:rPr>
          <w:rFonts w:ascii="Arial" w:hAnsi="Arial" w:cs="Arial"/>
          <w:bCs/>
        </w:rPr>
      </w:pPr>
      <w:r w:rsidRPr="00762C56">
        <w:rPr>
          <w:rFonts w:ascii="Arial" w:hAnsi="Arial" w:cs="Arial"/>
          <w:bCs/>
        </w:rPr>
        <w:t>Commissions de surperformance</w:t>
      </w:r>
    </w:p>
    <w:p w14:paraId="18713805" w14:textId="77777777" w:rsidR="00BE43A1" w:rsidRPr="002F5927" w:rsidRDefault="00BE43A1" w:rsidP="002F5927">
      <w:pPr>
        <w:pStyle w:val="Paragraphedeliste"/>
        <w:numPr>
          <w:ilvl w:val="0"/>
          <w:numId w:val="27"/>
        </w:numPr>
        <w:ind w:right="-144"/>
        <w:rPr>
          <w:rFonts w:ascii="Arial" w:hAnsi="Arial" w:cs="Arial"/>
          <w:bCs/>
        </w:rPr>
      </w:pPr>
      <w:r w:rsidRPr="00762C56">
        <w:rPr>
          <w:rFonts w:ascii="Arial" w:hAnsi="Arial" w:cs="Arial"/>
          <w:bCs/>
        </w:rPr>
        <w:t>Frais de recherche</w:t>
      </w:r>
    </w:p>
    <w:p w14:paraId="4A7ECF30" w14:textId="77777777" w:rsidR="00BE43A1" w:rsidRPr="002F5927" w:rsidRDefault="00BE43A1" w:rsidP="002F5927">
      <w:pPr>
        <w:ind w:right="-144"/>
        <w:rPr>
          <w:rFonts w:ascii="Arial" w:hAnsi="Arial" w:cs="Arial"/>
          <w:bCs/>
        </w:rPr>
      </w:pPr>
    </w:p>
    <w:p w14:paraId="7DDF4731" w14:textId="77777777" w:rsidR="001E6A48" w:rsidRPr="002F5927" w:rsidRDefault="001E6A48" w:rsidP="00BE43A1">
      <w:pPr>
        <w:ind w:left="-426" w:right="-144"/>
        <w:rPr>
          <w:rFonts w:ascii="Arial" w:hAnsi="Arial" w:cs="Arial"/>
          <w:bCs/>
        </w:rPr>
      </w:pPr>
      <w:r w:rsidRPr="002F5927">
        <w:rPr>
          <w:rFonts w:ascii="Arial" w:hAnsi="Arial" w:cs="Arial"/>
          <w:bCs/>
        </w:rPr>
        <w:t>Les frais sont exprimés en % et en montant</w:t>
      </w:r>
      <w:r w:rsidR="00CA3B28" w:rsidRPr="002F5927">
        <w:rPr>
          <w:rFonts w:ascii="Arial" w:hAnsi="Arial" w:cs="Arial"/>
          <w:bCs/>
        </w:rPr>
        <w:t>.</w:t>
      </w:r>
    </w:p>
    <w:p w14:paraId="79BB0C12" w14:textId="77777777" w:rsidR="001E6A48" w:rsidRPr="002F5927" w:rsidRDefault="001E6A48" w:rsidP="001E6A48">
      <w:pPr>
        <w:ind w:left="-360" w:right="-428"/>
        <w:outlineLvl w:val="0"/>
        <w:rPr>
          <w:rFonts w:ascii="Arial" w:hAnsi="Arial" w:cs="Arial"/>
          <w:bCs/>
        </w:rPr>
      </w:pPr>
    </w:p>
    <w:tbl>
      <w:tblPr>
        <w:tblW w:w="978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3544"/>
      </w:tblGrid>
      <w:tr w:rsidR="00DD195F" w14:paraId="707CBEB3" w14:textId="77777777" w:rsidTr="00A545E3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6BBDAAA2" w14:textId="77777777" w:rsidR="00DD195F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Type de frais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6647EDDA" w14:textId="77777777" w:rsidR="00DD195F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Frais</w:t>
            </w:r>
          </w:p>
        </w:tc>
      </w:tr>
      <w:tr w:rsidR="00DD195F" w14:paraId="5DC57394" w14:textId="77777777" w:rsidTr="00A545E3">
        <w:trPr>
          <w:trHeight w:val="31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CACD88D" w14:textId="77777777" w:rsidR="00DD195F" w:rsidRPr="003F07E5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Frais uniques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9F6C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 xml:space="preserve">Droit d'entrée acquis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CB200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16A9E328" w14:textId="77777777" w:rsidTr="00A545E3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AEFDCD6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0968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Droit de sortie acquis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DCACC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4D18ECEA" w14:textId="77777777" w:rsidTr="00A545E3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7C3081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7677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Droit d'entrée non acquis réel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69683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7FE6B4E0" w14:textId="77777777" w:rsidTr="00A545E3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045B83B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B98681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Droit de sortie non acquis réel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169B8E2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0E931BF1" w14:textId="77777777" w:rsidTr="00A545E3">
        <w:trPr>
          <w:trHeight w:val="31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0B60277" w14:textId="77777777" w:rsidR="00DD195F" w:rsidRPr="003F07E5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Frais récurrents</w:t>
            </w:r>
          </w:p>
          <w:p w14:paraId="71896A44" w14:textId="77777777" w:rsidR="00DD195F" w:rsidRPr="003F07E5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(</w:t>
            </w:r>
            <w:proofErr w:type="spellStart"/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On-going</w:t>
            </w:r>
            <w:proofErr w:type="spellEnd"/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charges)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724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Frais de gestion financiers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EF469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7759C5B0" w14:textId="77777777" w:rsidTr="00A545E3">
        <w:trPr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CA39E14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4193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 xml:space="preserve">Frais de gestion administratifs (CAC, Dépositaire, </w:t>
            </w:r>
            <w:proofErr w:type="spellStart"/>
            <w:r w:rsidRPr="003F07E5">
              <w:rPr>
                <w:rFonts w:eastAsia="Times New Roman"/>
                <w:color w:val="000000"/>
                <w:lang w:eastAsia="en-US"/>
              </w:rPr>
              <w:t>Valorisateurs</w:t>
            </w:r>
            <w:proofErr w:type="spellEnd"/>
            <w:r w:rsidRPr="003F07E5">
              <w:rPr>
                <w:rFonts w:eastAsia="Times New Roman"/>
                <w:color w:val="000000"/>
                <w:lang w:eastAsia="en-US"/>
              </w:rPr>
              <w:t>, RCCI, etc.). Détailler par poste.</w:t>
            </w:r>
          </w:p>
          <w:p w14:paraId="14849C37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Pour le dépositaire-conservateur, fournir en annexe la tarification détaillée.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9AE8A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58A4A6E1" w14:textId="77777777" w:rsidTr="00A545E3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A01DDCF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2531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Frais indirects / Coûts induits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9E38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30CB8B5B" w14:textId="77777777" w:rsidTr="00A545E3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FA2EC17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0CD7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 xml:space="preserve">Autres coûts (indice de référence, notation, proxy </w:t>
            </w:r>
            <w:proofErr w:type="spellStart"/>
            <w:r w:rsidRPr="003F07E5">
              <w:rPr>
                <w:rFonts w:eastAsia="Times New Roman"/>
                <w:color w:val="000000"/>
                <w:lang w:eastAsia="en-US"/>
              </w:rPr>
              <w:t>voting</w:t>
            </w:r>
            <w:proofErr w:type="spellEnd"/>
            <w:r w:rsidRPr="003F07E5">
              <w:rPr>
                <w:rFonts w:eastAsia="Times New Roman"/>
                <w:color w:val="000000"/>
                <w:lang w:eastAsia="en-US"/>
              </w:rPr>
              <w:t>, autres data, benchmarks customisés ou non...) Détailler par poste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6FD2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4A84FEB4" w14:textId="77777777" w:rsidTr="00A545E3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BADE127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34666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Rétrocessions perçues, si autorisées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AD0777F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1C188B99" w14:textId="77777777" w:rsidTr="00A545E3">
        <w:trPr>
          <w:trHeight w:val="6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B2C28BD" w14:textId="77777777" w:rsidR="00DD195F" w:rsidRPr="003F07E5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Frais de transaction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C356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Frais explicites (courtage, taxes, change,…)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AA4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4AF049FA" w14:textId="77777777" w:rsidTr="00A545E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4B03423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E77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Commission A/V (SGP)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680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59FCFCD7" w14:textId="77777777" w:rsidTr="00A545E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52CE9D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CD523A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Commission A/V (Dépositaire)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831D8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:rsidRPr="00296B39" w14:paraId="31695C80" w14:textId="77777777" w:rsidTr="00A545E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97CA7FC" w14:textId="77777777" w:rsidR="00DD195F" w:rsidRPr="003F07E5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54D42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val="en-US" w:eastAsia="en-US"/>
              </w:rPr>
            </w:pPr>
            <w:r w:rsidRPr="003F07E5">
              <w:rPr>
                <w:rFonts w:eastAsia="Times New Roman"/>
                <w:color w:val="000000"/>
                <w:lang w:val="en-US" w:eastAsia="en-US"/>
              </w:rPr>
              <w:t>Mark-up (</w:t>
            </w:r>
            <w:proofErr w:type="spellStart"/>
            <w:r w:rsidRPr="003F07E5">
              <w:rPr>
                <w:rFonts w:eastAsia="Times New Roman"/>
                <w:color w:val="000000"/>
                <w:lang w:val="en-US" w:eastAsia="en-US"/>
              </w:rPr>
              <w:t>méthode</w:t>
            </w:r>
            <w:proofErr w:type="spellEnd"/>
            <w:r w:rsidRPr="003F07E5">
              <w:rPr>
                <w:rFonts w:eastAsia="Times New Roman"/>
                <w:color w:val="000000"/>
                <w:lang w:val="en-US" w:eastAsia="en-US"/>
              </w:rPr>
              <w:t xml:space="preserve"> new PRIIPS)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B1A73B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DD195F" w14:paraId="2B1B5408" w14:textId="77777777" w:rsidTr="00A545E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0E5AB7" w14:textId="77777777" w:rsidR="00DD195F" w:rsidRPr="003F07E5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Frais liée à la performance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BAEB81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3F07E5">
              <w:rPr>
                <w:rFonts w:eastAsia="Times New Roman"/>
                <w:color w:val="000000"/>
                <w:lang w:eastAsia="en-US"/>
              </w:rPr>
              <w:t>Détailler la méthode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CE9A992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D195F" w14:paraId="4882B56A" w14:textId="77777777" w:rsidTr="00A545E3">
        <w:trPr>
          <w:trHeight w:val="63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737279" w14:textId="77777777" w:rsidR="00DD195F" w:rsidRPr="003F07E5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Frais de recherche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FB754F" w14:textId="77777777" w:rsidR="00DD195F" w:rsidRPr="00A545E3" w:rsidRDefault="00DD195F">
            <w:pPr>
              <w:spacing w:line="276" w:lineRule="auto"/>
              <w:rPr>
                <w:rFonts w:eastAsia="Times New Roman"/>
                <w:bCs/>
                <w:color w:val="000000"/>
                <w:lang w:eastAsia="en-US"/>
              </w:rPr>
            </w:pPr>
            <w:r w:rsidRPr="00A545E3">
              <w:rPr>
                <w:rFonts w:eastAsia="Times New Roman"/>
                <w:bCs/>
                <w:color w:val="000000"/>
                <w:lang w:eastAsia="en-US"/>
              </w:rPr>
              <w:t>Qui les prend en charge ?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6D01A03" w14:textId="77777777" w:rsidR="00DD195F" w:rsidRPr="00A545E3" w:rsidRDefault="00DD195F">
            <w:pPr>
              <w:spacing w:line="276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DD195F" w14:paraId="48D91924" w14:textId="77777777" w:rsidTr="00A545E3">
        <w:trPr>
          <w:trHeight w:val="63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76728E" w14:textId="77777777" w:rsidR="00DD195F" w:rsidRPr="003F07E5" w:rsidRDefault="00DD195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F07E5">
              <w:rPr>
                <w:rFonts w:eastAsia="Times New Roman"/>
                <w:b/>
                <w:bCs/>
                <w:color w:val="000000"/>
                <w:lang w:eastAsia="en-US"/>
              </w:rPr>
              <w:t>TFE de l’OPC en précisant HT ou TTC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15A3A1" w14:textId="77777777" w:rsidR="00DD195F" w:rsidRPr="003F07E5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9331C7F" w14:textId="77777777" w:rsidR="00DD195F" w:rsidRDefault="00DD195F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14:paraId="4BA64E39" w14:textId="77777777" w:rsidR="00DD195F" w:rsidRDefault="00DD195F" w:rsidP="00DD195F">
      <w:pPr>
        <w:outlineLvl w:val="0"/>
        <w:rPr>
          <w:rFonts w:ascii="Arial" w:hAnsi="Arial" w:cs="Arial"/>
          <w:u w:val="single"/>
        </w:rPr>
      </w:pPr>
    </w:p>
    <w:p w14:paraId="7DCE7FB1" w14:textId="54134D62" w:rsidR="00DD195F" w:rsidRDefault="00DD195F" w:rsidP="00DD195F">
      <w:pPr>
        <w:outlineLvl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55D6B0AE" w14:textId="0D64CDD4" w:rsidR="001E6A48" w:rsidRPr="002F5927" w:rsidRDefault="001E6A48" w:rsidP="0054531D">
      <w:pPr>
        <w:outlineLvl w:val="0"/>
        <w:rPr>
          <w:rFonts w:ascii="Arial" w:hAnsi="Arial" w:cs="Arial"/>
          <w:bCs/>
          <w:u w:val="single"/>
        </w:rPr>
      </w:pPr>
    </w:p>
    <w:p w14:paraId="2844E299" w14:textId="77777777" w:rsidR="001E6A48" w:rsidRPr="00762C56" w:rsidRDefault="001E6A48" w:rsidP="00762C56">
      <w:pPr>
        <w:pStyle w:val="Paragraphedeliste"/>
        <w:numPr>
          <w:ilvl w:val="0"/>
          <w:numId w:val="29"/>
        </w:numPr>
        <w:ind w:left="851"/>
        <w:outlineLvl w:val="0"/>
        <w:rPr>
          <w:rFonts w:ascii="Arial" w:hAnsi="Arial" w:cs="Arial"/>
          <w:bCs/>
          <w:u w:val="single"/>
        </w:rPr>
      </w:pPr>
      <w:r w:rsidRPr="00762C56">
        <w:rPr>
          <w:rFonts w:ascii="Arial" w:hAnsi="Arial" w:cs="Arial"/>
          <w:bCs/>
          <w:u w:val="single"/>
        </w:rPr>
        <w:t>Gouvernance produit</w:t>
      </w:r>
      <w:r w:rsidR="004B1920" w:rsidRPr="00762C56">
        <w:rPr>
          <w:rFonts w:ascii="Arial" w:hAnsi="Arial" w:cs="Arial"/>
          <w:bCs/>
          <w:u w:val="single"/>
        </w:rPr>
        <w:t xml:space="preserve">  </w:t>
      </w:r>
    </w:p>
    <w:p w14:paraId="75B5C3D2" w14:textId="77777777" w:rsidR="00762C56" w:rsidRDefault="00762C56" w:rsidP="001E6A48">
      <w:pPr>
        <w:ind w:left="-360"/>
        <w:jc w:val="both"/>
        <w:outlineLvl w:val="0"/>
        <w:rPr>
          <w:rFonts w:ascii="Arial" w:hAnsi="Arial" w:cs="Arial"/>
        </w:rPr>
      </w:pPr>
    </w:p>
    <w:p w14:paraId="592650FD" w14:textId="77777777" w:rsidR="001E6A48" w:rsidRPr="002F5927" w:rsidRDefault="001E6A48" w:rsidP="001E6A48">
      <w:pPr>
        <w:ind w:left="-360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Donner la classification du fonds selon les 5 critères de gouvernance produit définis par la réglementation MIF 2 : cocher ou compléter les cases correspondantes</w:t>
      </w:r>
      <w:r w:rsidR="00D36D86">
        <w:rPr>
          <w:rFonts w:ascii="Arial" w:hAnsi="Arial" w:cs="Arial"/>
        </w:rPr>
        <w:t>.</w:t>
      </w:r>
    </w:p>
    <w:p w14:paraId="2DFDE3EF" w14:textId="77777777" w:rsidR="001E6A48" w:rsidRPr="002F5927" w:rsidRDefault="001E6A48" w:rsidP="001E6A48">
      <w:pPr>
        <w:ind w:left="-360"/>
        <w:outlineLvl w:val="0"/>
        <w:rPr>
          <w:rFonts w:ascii="Arial" w:hAnsi="Arial" w:cs="Arial"/>
          <w:bCs/>
          <w:u w:val="single"/>
        </w:rPr>
      </w:pPr>
    </w:p>
    <w:tbl>
      <w:tblPr>
        <w:tblW w:w="1008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902"/>
        <w:gridCol w:w="4160"/>
        <w:gridCol w:w="2537"/>
      </w:tblGrid>
      <w:tr w:rsidR="00853F67" w:rsidRPr="002F5927" w14:paraId="3C76348A" w14:textId="77777777" w:rsidTr="00153D83">
        <w:trPr>
          <w:trHeight w:val="315"/>
        </w:trPr>
        <w:tc>
          <w:tcPr>
            <w:tcW w:w="338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001E227E" w14:textId="77777777" w:rsidR="00853F67" w:rsidRPr="002F5927" w:rsidRDefault="00853F67" w:rsidP="001E6A48">
            <w:pPr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2F5927">
              <w:rPr>
                <w:rFonts w:eastAsia="Times New Roman"/>
                <w:b/>
                <w:bCs/>
                <w:color w:val="FFFFFF" w:themeColor="background1"/>
              </w:rPr>
              <w:t>Critère de gouvernance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1F1DE702" w14:textId="77777777" w:rsidR="00853F67" w:rsidRPr="002F5927" w:rsidRDefault="00853F67" w:rsidP="001E6A48">
            <w:pPr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2F5927">
              <w:rPr>
                <w:rFonts w:eastAsia="Times New Roman"/>
                <w:b/>
                <w:bCs/>
                <w:color w:val="FFFFFF" w:themeColor="background1"/>
              </w:rPr>
              <w:t>Champ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59340A26" w14:textId="77777777" w:rsidR="00853F67" w:rsidRPr="002F5927" w:rsidRDefault="00853F67" w:rsidP="001E6A48">
            <w:pPr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2F5927">
              <w:rPr>
                <w:rFonts w:eastAsia="Times New Roman"/>
                <w:b/>
                <w:color w:val="FFFFFF" w:themeColor="background1"/>
              </w:rPr>
              <w:t>Nom du fonds</w:t>
            </w:r>
          </w:p>
        </w:tc>
      </w:tr>
      <w:tr w:rsidR="00853F67" w:rsidRPr="002F5927" w14:paraId="6A1A5B5A" w14:textId="77777777" w:rsidTr="00153D83">
        <w:trPr>
          <w:trHeight w:val="86"/>
        </w:trPr>
        <w:tc>
          <w:tcPr>
            <w:tcW w:w="33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8B8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Classification clients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A7B" w14:textId="77777777" w:rsidR="00853F67" w:rsidRDefault="00853F67" w:rsidP="001E6A48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Non professionnel</w:t>
            </w:r>
          </w:p>
          <w:p w14:paraId="76BA425D" w14:textId="77777777" w:rsidR="00971EFB" w:rsidRPr="002F5927" w:rsidRDefault="00971EFB" w:rsidP="001E6A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0DA7A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45A04698" w14:textId="77777777" w:rsidTr="00E604CB">
        <w:trPr>
          <w:trHeight w:val="219"/>
        </w:trPr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6E28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775" w14:textId="77777777" w:rsidR="00853F67" w:rsidRDefault="00853F67" w:rsidP="001E6A48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Professionnel</w:t>
            </w:r>
          </w:p>
          <w:p w14:paraId="06A19B93" w14:textId="77777777" w:rsidR="00971EFB" w:rsidRPr="002F5927" w:rsidRDefault="00971EFB" w:rsidP="001E6A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9FBDF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23C8C026" w14:textId="77777777" w:rsidTr="00E604CB">
        <w:trPr>
          <w:trHeight w:val="506"/>
        </w:trPr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11FB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A8A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Contrepartie éligible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A6099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64A361D7" w14:textId="77777777" w:rsidTr="00E604CB">
        <w:trPr>
          <w:trHeight w:val="538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14D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br/>
              <w:t>Connaissance et Expertise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C76" w14:textId="77777777" w:rsidR="00853F67" w:rsidRPr="002F5927" w:rsidRDefault="00853F67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 xml:space="preserve">Investisseur aux connaissances </w:t>
            </w:r>
            <w:r w:rsidR="008927A8" w:rsidRPr="002F5927">
              <w:rPr>
                <w:rFonts w:eastAsia="Times New Roman"/>
                <w:color w:val="000000"/>
              </w:rPr>
              <w:t>de base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EAD84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37DB158E" w14:textId="77777777" w:rsidTr="00E604CB">
        <w:trPr>
          <w:trHeight w:val="432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5A7B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7AC" w14:textId="25605988" w:rsidR="00853F67" w:rsidRPr="002F5927" w:rsidRDefault="00853F67" w:rsidP="00153D83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Investisseur informé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E60A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43D0BB90" w14:textId="77777777" w:rsidTr="00E604CB">
        <w:trPr>
          <w:trHeight w:val="552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AF3E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260" w14:textId="7CF51FCC" w:rsidR="00853F67" w:rsidRPr="002F5927" w:rsidRDefault="00853F67" w:rsidP="008F01DF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 xml:space="preserve">Investisseur </w:t>
            </w:r>
            <w:r w:rsidR="008F01DF">
              <w:rPr>
                <w:rFonts w:eastAsia="Times New Roman"/>
                <w:color w:val="000000"/>
              </w:rPr>
              <w:t>avancé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6C999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3111D9B4" w14:textId="77777777" w:rsidTr="00E604CB">
        <w:trPr>
          <w:trHeight w:val="96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4A9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Habilité à subir des pertes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4E1" w14:textId="77777777" w:rsidR="00853F67" w:rsidRDefault="00153D83" w:rsidP="00153D8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Client ne supportant a</w:t>
            </w:r>
            <w:r w:rsidR="00360BF7">
              <w:rPr>
                <w:rFonts w:eastAsia="Times New Roman"/>
                <w:color w:val="000000"/>
              </w:rPr>
              <w:t>ucune perte en capital</w:t>
            </w:r>
          </w:p>
          <w:p w14:paraId="06A9A37C" w14:textId="284D252F" w:rsidR="00971EFB" w:rsidRPr="002F5927" w:rsidRDefault="00971EFB" w:rsidP="00153D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18897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25FF0BBE" w14:textId="77777777" w:rsidTr="00153D83">
        <w:trPr>
          <w:trHeight w:val="96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A7DC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1C0" w14:textId="1351D8D4" w:rsidR="00853F67" w:rsidRPr="00153D83" w:rsidRDefault="00153D83" w:rsidP="00153D83">
            <w:pPr>
              <w:rPr>
                <w:rFonts w:eastAsia="Times New Roman"/>
                <w:color w:val="000000"/>
              </w:rPr>
            </w:pPr>
            <w:r w:rsidRPr="00153D83">
              <w:rPr>
                <w:rFonts w:eastAsia="Times New Roman"/>
                <w:color w:val="000000"/>
              </w:rPr>
              <w:t>Client supportant une p</w:t>
            </w:r>
            <w:r w:rsidR="00853F67" w:rsidRPr="00153D83">
              <w:rPr>
                <w:rFonts w:eastAsia="Times New Roman"/>
                <w:color w:val="000000"/>
              </w:rPr>
              <w:t xml:space="preserve">erte </w:t>
            </w:r>
            <w:r w:rsidR="00360BF7" w:rsidRPr="00153D83">
              <w:rPr>
                <w:rFonts w:eastAsia="Times New Roman"/>
                <w:color w:val="000000"/>
              </w:rPr>
              <w:t>en capital limitée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220BE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360BF7" w:rsidRPr="002F5927" w14:paraId="7D8647C5" w14:textId="77777777" w:rsidTr="00153D83">
        <w:trPr>
          <w:trHeight w:val="96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68F3" w14:textId="77777777" w:rsidR="00360BF7" w:rsidRPr="002F5927" w:rsidRDefault="00360BF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F942" w14:textId="77777777" w:rsidR="00360BF7" w:rsidRDefault="008F01DF" w:rsidP="008F01DF">
            <w:pPr>
              <w:rPr>
                <w:rFonts w:eastAsia="Times New Roman"/>
                <w:color w:val="000000"/>
              </w:rPr>
            </w:pPr>
            <w:r w:rsidRPr="00153D83">
              <w:rPr>
                <w:rFonts w:eastAsia="Times New Roman"/>
                <w:color w:val="000000"/>
              </w:rPr>
              <w:t xml:space="preserve">Niveau de la limite de la </w:t>
            </w:r>
            <w:r w:rsidR="00360BF7" w:rsidRPr="00153D83">
              <w:rPr>
                <w:rFonts w:eastAsia="Times New Roman"/>
                <w:color w:val="000000"/>
              </w:rPr>
              <w:t xml:space="preserve">perte en capital </w:t>
            </w:r>
          </w:p>
          <w:p w14:paraId="3D7E2D76" w14:textId="4D5205BF" w:rsidR="00971EFB" w:rsidRPr="00153D83" w:rsidRDefault="00971EFB" w:rsidP="008F01D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2D306" w14:textId="77777777" w:rsidR="00360BF7" w:rsidRPr="002F5927" w:rsidRDefault="00360BF7" w:rsidP="001E6A48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53E6CEA1" w14:textId="77777777" w:rsidTr="00153D83">
        <w:trPr>
          <w:trHeight w:val="96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2F05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917" w14:textId="25C0BB4B" w:rsidR="00153D83" w:rsidRP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Client ne cherchant aucune garantie en capital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3A53D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3A9AFE4B" w14:textId="77777777" w:rsidTr="00153D83">
        <w:trPr>
          <w:trHeight w:val="96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DC8A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31B" w14:textId="4F51330E" w:rsidR="00153D83" w:rsidRP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Client pouvant supporter une Perte supérieure au capital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08F01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45DFFA4C" w14:textId="77777777" w:rsidTr="00153D83">
        <w:trPr>
          <w:trHeight w:val="96"/>
        </w:trPr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06C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Objectifs et besoins du client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C84" w14:textId="60A1D5E4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 xml:space="preserve">Profil de </w:t>
            </w:r>
            <w:r>
              <w:rPr>
                <w:rFonts w:eastAsia="Times New Roman"/>
                <w:color w:val="000000"/>
              </w:rPr>
              <w:t>placement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9A0" w14:textId="1A8A0892" w:rsidR="00153D83" w:rsidRP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Client recherchant une Préservation du capital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B4AC4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379ADC39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F2F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254A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234" w14:textId="4F4DC00F" w:rsidR="00153D83" w:rsidRP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Client privilégiant la croissance de  son capital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C2B6D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578840D8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8A3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4E90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153" w14:textId="77777777" w:rsid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Client privilégiant un Revenu</w:t>
            </w:r>
          </w:p>
          <w:p w14:paraId="10EAD2FE" w14:textId="052F7133" w:rsidR="00971EFB" w:rsidRPr="00153D83" w:rsidRDefault="00971EFB" w:rsidP="00153D83">
            <w:pPr>
              <w:rPr>
                <w:rFonts w:eastAsia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D043C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1F1D13DB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11F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387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5909" w14:textId="679C9FE5" w:rsidR="00153D83" w:rsidRP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Client recherchant une Couverture (si produits structurés)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9F4C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456BE1DD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763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6B8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8DF2" w14:textId="567C1568" w:rsidR="00153D83" w:rsidRP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Client recherchant une Option ou un effet de levier (si produits structurés)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E533C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153D83" w:rsidRPr="002F5927" w14:paraId="08C92B19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169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75F" w14:textId="77777777" w:rsidR="00153D83" w:rsidRPr="002F5927" w:rsidRDefault="00153D83" w:rsidP="00153D8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D344" w14:textId="5A6D7A9B" w:rsidR="00153D83" w:rsidRPr="00153D83" w:rsidRDefault="00153D83" w:rsidP="00153D83">
            <w:pPr>
              <w:rPr>
                <w:rFonts w:eastAsia="Times New Roman"/>
              </w:rPr>
            </w:pPr>
            <w:r w:rsidRPr="00153D83">
              <w:rPr>
                <w:rFonts w:eastAsia="Times New Roman"/>
              </w:rPr>
              <w:t>Autres ( ESG, Solidaire…)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9A3AE" w14:textId="77777777" w:rsidR="00153D83" w:rsidRPr="002F5927" w:rsidRDefault="00153D83" w:rsidP="00153D83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7419A5E4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ED4D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D1F" w14:textId="2ABE3254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 xml:space="preserve">Horizon de placement </w:t>
            </w:r>
            <w:r w:rsidR="00E036F0">
              <w:rPr>
                <w:rFonts w:eastAsia="Times New Roman"/>
                <w:color w:val="000000"/>
              </w:rPr>
              <w:t>–</w:t>
            </w:r>
            <w:r w:rsidRPr="002F5927">
              <w:rPr>
                <w:rFonts w:eastAsia="Times New Roman"/>
                <w:color w:val="000000"/>
              </w:rPr>
              <w:t>Type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768" w14:textId="77777777" w:rsidR="00853F67" w:rsidRDefault="00853F67" w:rsidP="001E6A48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Durée de détention recommandée</w:t>
            </w:r>
            <w:r w:rsidR="00153D83">
              <w:rPr>
                <w:rFonts w:eastAsia="Times New Roman"/>
                <w:color w:val="000000"/>
              </w:rPr>
              <w:t xml:space="preserve"> minimum</w:t>
            </w:r>
          </w:p>
          <w:p w14:paraId="00911FF2" w14:textId="21146B10" w:rsidR="00971EFB" w:rsidRPr="002F5927" w:rsidRDefault="00971EFB" w:rsidP="001E6A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3246F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42B6166B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2E4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806F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AD9" w14:textId="77777777" w:rsidR="00853F67" w:rsidRDefault="00153D83" w:rsidP="00153D8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ou d</w:t>
            </w:r>
            <w:r w:rsidR="00DE7F33">
              <w:rPr>
                <w:rFonts w:eastAsia="Times New Roman"/>
                <w:color w:val="000000"/>
              </w:rPr>
              <w:t xml:space="preserve">ate </w:t>
            </w:r>
            <w:r w:rsidR="008F01DF">
              <w:rPr>
                <w:rFonts w:eastAsia="Times New Roman"/>
                <w:color w:val="000000"/>
              </w:rPr>
              <w:t>d’échéance</w:t>
            </w:r>
            <w:r w:rsidR="00DE7F33">
              <w:rPr>
                <w:rFonts w:eastAsia="Times New Roman"/>
                <w:color w:val="000000"/>
              </w:rPr>
              <w:t xml:space="preserve"> </w:t>
            </w:r>
          </w:p>
          <w:p w14:paraId="0276E05E" w14:textId="72999209" w:rsidR="00971EFB" w:rsidRPr="002F5927" w:rsidRDefault="00971EFB" w:rsidP="00153D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38E9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DE7F33" w:rsidRPr="002F5927" w14:paraId="4A0C8F6A" w14:textId="77777777" w:rsidTr="00153D83">
        <w:trPr>
          <w:trHeight w:val="96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F1A" w14:textId="77777777" w:rsidR="00DE7F33" w:rsidRPr="002F5927" w:rsidRDefault="00DE7F33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C85" w14:textId="77777777" w:rsidR="00DE7F33" w:rsidRPr="002F5927" w:rsidRDefault="00DE7F33" w:rsidP="001E6A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770C" w14:textId="77777777" w:rsidR="00DE7F33" w:rsidRDefault="00DE7F33" w:rsidP="001E6A4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Besoin d’investissement spécifique</w:t>
            </w:r>
          </w:p>
          <w:p w14:paraId="499B8626" w14:textId="236333AD" w:rsidR="00971EFB" w:rsidRPr="002F5927" w:rsidRDefault="00971EFB" w:rsidP="001E6A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6439B" w14:textId="77777777" w:rsidR="00DE7F33" w:rsidRPr="002F5927" w:rsidRDefault="00DE7F33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34B4C8A0" w14:textId="77777777" w:rsidTr="00153D83">
        <w:trPr>
          <w:trHeight w:val="300"/>
        </w:trPr>
        <w:tc>
          <w:tcPr>
            <w:tcW w:w="3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73D" w14:textId="77777777" w:rsidR="00853F67" w:rsidRPr="002F5927" w:rsidRDefault="00853F67" w:rsidP="001E6A48">
            <w:pPr>
              <w:jc w:val="center"/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Tolérance au risque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C99" w14:textId="14C3B4BE" w:rsidR="00971EFB" w:rsidRPr="002F5927" w:rsidRDefault="00853F67" w:rsidP="00971EFB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SRRI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CA077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487940A9" w14:textId="77777777" w:rsidTr="00153D83">
        <w:trPr>
          <w:trHeight w:val="86"/>
        </w:trPr>
        <w:tc>
          <w:tcPr>
            <w:tcW w:w="3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18256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96A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SRI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E6584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  <w:tr w:rsidR="00853F67" w:rsidRPr="002F5927" w14:paraId="21A99E0E" w14:textId="77777777" w:rsidTr="00153D83">
        <w:trPr>
          <w:trHeight w:val="315"/>
        </w:trPr>
        <w:tc>
          <w:tcPr>
            <w:tcW w:w="3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27237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FD5" w14:textId="516E4D3E" w:rsidR="00853F67" w:rsidRPr="002F5927" w:rsidRDefault="00C66ACB">
            <w:pPr>
              <w:rPr>
                <w:rFonts w:eastAsia="Times New Roman"/>
                <w:color w:val="000000"/>
              </w:rPr>
            </w:pPr>
            <w:r w:rsidRPr="002F5927">
              <w:rPr>
                <w:rFonts w:eastAsia="Times New Roman"/>
                <w:color w:val="000000"/>
              </w:rPr>
              <w:t>Faible</w:t>
            </w:r>
            <w:r w:rsidR="00CE6368" w:rsidRPr="002F5927">
              <w:rPr>
                <w:rFonts w:eastAsia="Times New Roman"/>
                <w:color w:val="000000"/>
              </w:rPr>
              <w:t>/</w:t>
            </w:r>
            <w:r w:rsidRPr="002F5927">
              <w:rPr>
                <w:rFonts w:eastAsia="Times New Roman"/>
                <w:color w:val="000000"/>
              </w:rPr>
              <w:t xml:space="preserve"> Moyenne</w:t>
            </w:r>
            <w:r w:rsidR="00CE6368" w:rsidRPr="002F5927">
              <w:rPr>
                <w:rFonts w:eastAsia="Times New Roman"/>
                <w:color w:val="000000"/>
              </w:rPr>
              <w:t>/</w:t>
            </w:r>
            <w:r w:rsidRPr="002F5927">
              <w:rPr>
                <w:rFonts w:eastAsia="Times New Roman"/>
                <w:color w:val="000000"/>
              </w:rPr>
              <w:t xml:space="preserve"> Elevée</w:t>
            </w:r>
            <w:r w:rsidR="00153D83">
              <w:rPr>
                <w:rFonts w:eastAsia="Times New Roman"/>
                <w:color w:val="000000"/>
              </w:rPr>
              <w:t xml:space="preserve"> (si produits non OPC)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EAEED" w14:textId="77777777" w:rsidR="00853F67" w:rsidRPr="002F5927" w:rsidRDefault="00853F67" w:rsidP="001E6A48">
            <w:pPr>
              <w:rPr>
                <w:rFonts w:eastAsia="Times New Roman"/>
                <w:color w:val="000000"/>
              </w:rPr>
            </w:pPr>
          </w:p>
        </w:tc>
      </w:tr>
    </w:tbl>
    <w:p w14:paraId="03213E68" w14:textId="77777777" w:rsidR="006B5A97" w:rsidRPr="002F5927" w:rsidRDefault="006B5A97" w:rsidP="001E6A48">
      <w:pPr>
        <w:rPr>
          <w:rFonts w:ascii="Arial" w:hAnsi="Arial" w:cs="Arial"/>
          <w:bCs/>
          <w:u w:val="single"/>
        </w:rPr>
      </w:pPr>
    </w:p>
    <w:p w14:paraId="2D63BB8D" w14:textId="6F38E43A" w:rsidR="00762C56" w:rsidRDefault="00762C56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661EEAA9" w14:textId="77777777" w:rsidR="00061343" w:rsidRPr="00762C56" w:rsidRDefault="00061343" w:rsidP="00762C56">
      <w:pPr>
        <w:pStyle w:val="Paragraphedeliste"/>
        <w:numPr>
          <w:ilvl w:val="0"/>
          <w:numId w:val="29"/>
        </w:numPr>
        <w:ind w:left="851"/>
        <w:outlineLvl w:val="0"/>
        <w:rPr>
          <w:rFonts w:ascii="Arial" w:hAnsi="Arial" w:cs="Arial"/>
          <w:bCs/>
          <w:u w:val="single"/>
        </w:rPr>
      </w:pPr>
      <w:r w:rsidRPr="00762C56">
        <w:rPr>
          <w:rFonts w:ascii="Arial" w:hAnsi="Arial" w:cs="Arial"/>
          <w:bCs/>
          <w:u w:val="single"/>
        </w:rPr>
        <w:t>Caractéristiques détaillées du portefeuille:</w:t>
      </w:r>
    </w:p>
    <w:p w14:paraId="4B1D4F74" w14:textId="77777777" w:rsidR="00061343" w:rsidRPr="002F5927" w:rsidRDefault="00061343" w:rsidP="00061343">
      <w:pPr>
        <w:outlineLvl w:val="0"/>
        <w:rPr>
          <w:rFonts w:ascii="Arial" w:hAnsi="Arial" w:cs="Arial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367"/>
        <w:gridCol w:w="3011"/>
        <w:gridCol w:w="2571"/>
      </w:tblGrid>
      <w:tr w:rsidR="00061343" w:rsidRPr="002F5927" w14:paraId="78D2C37F" w14:textId="77777777" w:rsidTr="001B4A4E">
        <w:trPr>
          <w:trHeight w:val="447"/>
          <w:jc w:val="center"/>
        </w:trPr>
        <w:tc>
          <w:tcPr>
            <w:tcW w:w="4937" w:type="dxa"/>
            <w:gridSpan w:val="2"/>
            <w:shd w:val="clear" w:color="auto" w:fill="1F497D" w:themeFill="text2"/>
            <w:vAlign w:val="center"/>
          </w:tcPr>
          <w:p w14:paraId="3E7DEADC" w14:textId="77777777" w:rsidR="00061343" w:rsidRPr="002F5927" w:rsidRDefault="00061343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Taux de rotation :</w:t>
            </w:r>
          </w:p>
          <w:p w14:paraId="7FA7CBF7" w14:textId="77777777" w:rsidR="00061343" w:rsidRPr="002F5927" w:rsidRDefault="00061343" w:rsidP="001B4A4E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(Formule AMF)*</w:t>
            </w:r>
          </w:p>
        </w:tc>
        <w:tc>
          <w:tcPr>
            <w:tcW w:w="5582" w:type="dxa"/>
            <w:gridSpan w:val="2"/>
            <w:shd w:val="clear" w:color="auto" w:fill="1F497D" w:themeFill="text2"/>
            <w:vAlign w:val="center"/>
          </w:tcPr>
          <w:p w14:paraId="6348BEF6" w14:textId="77777777" w:rsidR="00061343" w:rsidRPr="002F5927" w:rsidRDefault="00061343" w:rsidP="001B4A4E">
            <w:pPr>
              <w:rPr>
                <w:rFonts w:ascii="Arial" w:hAnsi="Arial" w:cs="Arial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 de lignes en portefeuille :</w:t>
            </w:r>
          </w:p>
        </w:tc>
      </w:tr>
      <w:tr w:rsidR="00061343" w:rsidRPr="002F5927" w14:paraId="3CB734B0" w14:textId="77777777" w:rsidTr="001B4A4E">
        <w:trPr>
          <w:trHeight w:val="465"/>
          <w:jc w:val="center"/>
        </w:trPr>
        <w:tc>
          <w:tcPr>
            <w:tcW w:w="2570" w:type="dxa"/>
            <w:shd w:val="clear" w:color="auto" w:fill="1F497D" w:themeFill="text2"/>
            <w:vAlign w:val="center"/>
          </w:tcPr>
          <w:p w14:paraId="2ABC4E23" w14:textId="77777777" w:rsidR="00061343" w:rsidRPr="002F5927" w:rsidRDefault="00061343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N-1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50E511C" w14:textId="77777777" w:rsidR="00061343" w:rsidRPr="002F5927" w:rsidRDefault="00061343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1F497D" w:themeFill="text2"/>
            <w:vAlign w:val="center"/>
          </w:tcPr>
          <w:p w14:paraId="614A6215" w14:textId="77777777" w:rsidR="00061343" w:rsidRPr="002F5927" w:rsidRDefault="00061343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7DA1A155" w14:textId="77777777" w:rsidR="00061343" w:rsidRPr="002F5927" w:rsidRDefault="00061343" w:rsidP="001B4A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1343" w:rsidRPr="002F5927" w14:paraId="1AC8438C" w14:textId="77777777" w:rsidTr="001B4A4E">
        <w:trPr>
          <w:trHeight w:val="465"/>
          <w:jc w:val="center"/>
        </w:trPr>
        <w:tc>
          <w:tcPr>
            <w:tcW w:w="2570" w:type="dxa"/>
            <w:shd w:val="clear" w:color="auto" w:fill="1F497D" w:themeFill="text2"/>
            <w:vAlign w:val="center"/>
          </w:tcPr>
          <w:p w14:paraId="5B6D12B0" w14:textId="77777777" w:rsidR="00061343" w:rsidRPr="002F5927" w:rsidRDefault="00061343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N-2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272C01C" w14:textId="77777777" w:rsidR="00061343" w:rsidRPr="002F5927" w:rsidRDefault="00061343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1F497D" w:themeFill="text2"/>
            <w:vAlign w:val="center"/>
          </w:tcPr>
          <w:p w14:paraId="0740A14E" w14:textId="77777777" w:rsidR="00061343" w:rsidRPr="002F5927" w:rsidRDefault="00061343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5578EA7B" w14:textId="77777777" w:rsidR="00061343" w:rsidRPr="002F5927" w:rsidRDefault="00061343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F33" w:rsidRPr="002F5927" w14:paraId="0997C018" w14:textId="77777777" w:rsidTr="001B4A4E">
        <w:trPr>
          <w:trHeight w:val="465"/>
          <w:jc w:val="center"/>
        </w:trPr>
        <w:tc>
          <w:tcPr>
            <w:tcW w:w="2570" w:type="dxa"/>
            <w:shd w:val="clear" w:color="auto" w:fill="1F497D" w:themeFill="text2"/>
            <w:vAlign w:val="center"/>
          </w:tcPr>
          <w:p w14:paraId="6ACC6A85" w14:textId="7E58D19D" w:rsidR="00DE7F33" w:rsidRPr="002F5927" w:rsidRDefault="00DE7F33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N-3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F1F7085" w14:textId="77777777" w:rsidR="00DE7F33" w:rsidRPr="002F5927" w:rsidRDefault="00DE7F33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1F497D" w:themeFill="text2"/>
            <w:vAlign w:val="center"/>
          </w:tcPr>
          <w:p w14:paraId="342C7010" w14:textId="77777777" w:rsidR="00DE7F33" w:rsidRPr="002F5927" w:rsidRDefault="00DE7F33" w:rsidP="001B4A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27D3F62C" w14:textId="77777777" w:rsidR="00DE7F33" w:rsidRPr="002F5927" w:rsidRDefault="00DE7F33" w:rsidP="001B4A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4185F" w14:textId="77777777" w:rsidR="00061343" w:rsidRPr="002F5927" w:rsidRDefault="00061343" w:rsidP="00061343">
      <w:pPr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*Formule AMF : [((achats + ventes) – (souscriptions + rachats)) / actif net moyen du fonds]</w:t>
      </w:r>
    </w:p>
    <w:p w14:paraId="56B7A510" w14:textId="77777777" w:rsidR="00061343" w:rsidRPr="002F5927" w:rsidRDefault="00061343" w:rsidP="001E6A48">
      <w:pPr>
        <w:outlineLvl w:val="0"/>
        <w:rPr>
          <w:rFonts w:ascii="Arial" w:hAnsi="Arial" w:cs="Arial"/>
        </w:rPr>
      </w:pPr>
    </w:p>
    <w:p w14:paraId="5E444BA0" w14:textId="77777777" w:rsidR="00061343" w:rsidRPr="002F5927" w:rsidRDefault="00061343" w:rsidP="001E6A48">
      <w:pPr>
        <w:outlineLvl w:val="0"/>
        <w:rPr>
          <w:rFonts w:ascii="Arial" w:hAnsi="Arial" w:cs="Arial"/>
        </w:rPr>
      </w:pPr>
    </w:p>
    <w:p w14:paraId="7D1619C7" w14:textId="77777777" w:rsidR="0054531D" w:rsidRPr="002F5927" w:rsidRDefault="0054531D" w:rsidP="001E6A48">
      <w:pPr>
        <w:outlineLvl w:val="0"/>
        <w:rPr>
          <w:rFonts w:ascii="Arial" w:hAnsi="Arial" w:cs="Arial"/>
        </w:rPr>
      </w:pPr>
    </w:p>
    <w:p w14:paraId="53E7F3A2" w14:textId="77777777" w:rsidR="0054531D" w:rsidRPr="002F5927" w:rsidRDefault="0054531D" w:rsidP="001E6A48">
      <w:pPr>
        <w:outlineLvl w:val="0"/>
        <w:rPr>
          <w:rFonts w:ascii="Arial" w:hAnsi="Arial" w:cs="Arial"/>
        </w:rPr>
      </w:pPr>
    </w:p>
    <w:p w14:paraId="047A6FF0" w14:textId="77777777" w:rsidR="00F626F9" w:rsidRPr="002F5927" w:rsidRDefault="001E6A48" w:rsidP="00F626F9">
      <w:pPr>
        <w:pStyle w:val="Titre1"/>
        <w:rPr>
          <w:b/>
          <w:bCs/>
          <w:sz w:val="28"/>
          <w:szCs w:val="28"/>
        </w:rPr>
      </w:pPr>
      <w:r w:rsidRPr="002F5927">
        <w:br w:type="page"/>
      </w:r>
      <w:r w:rsidRPr="00762C56">
        <w:lastRenderedPageBreak/>
        <w:t>II -  Encours sous Gestion</w:t>
      </w:r>
    </w:p>
    <w:p w14:paraId="6824F4BF" w14:textId="77777777" w:rsidR="001E6A48" w:rsidRPr="002F5927" w:rsidRDefault="001E6A48" w:rsidP="001E6A48">
      <w:pPr>
        <w:outlineLvl w:val="0"/>
        <w:rPr>
          <w:rFonts w:ascii="Arial" w:hAnsi="Arial" w:cs="Arial"/>
        </w:rPr>
      </w:pPr>
    </w:p>
    <w:p w14:paraId="6CCE23D1" w14:textId="77777777" w:rsidR="001E6A48" w:rsidRPr="002F5927" w:rsidRDefault="001E6A48" w:rsidP="001E6A48">
      <w:pPr>
        <w:outlineLvl w:val="0"/>
        <w:rPr>
          <w:rFonts w:ascii="Arial" w:hAnsi="Arial" w:cs="Arial"/>
        </w:rPr>
      </w:pPr>
    </w:p>
    <w:p w14:paraId="3B41005D" w14:textId="4F3E73F6" w:rsidR="00762C56" w:rsidRDefault="001E6A48" w:rsidP="00762C56">
      <w:pPr>
        <w:pStyle w:val="Paragraphedeliste"/>
        <w:numPr>
          <w:ilvl w:val="0"/>
          <w:numId w:val="29"/>
        </w:numPr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t xml:space="preserve">Quels sont les encours sous gestion du fonds ? </w:t>
      </w:r>
      <w:r w:rsidR="00FD03C1">
        <w:rPr>
          <w:rFonts w:ascii="Arial" w:hAnsi="Arial" w:cs="Arial"/>
        </w:rPr>
        <w:t xml:space="preserve">Historique. </w:t>
      </w:r>
      <w:r w:rsidR="00A545E3" w:rsidRPr="00762C56">
        <w:rPr>
          <w:rFonts w:ascii="Arial" w:hAnsi="Arial" w:cs="Arial"/>
        </w:rPr>
        <w:t>Représentativité</w:t>
      </w:r>
      <w:r w:rsidR="004C7AE0" w:rsidRPr="00762C56">
        <w:rPr>
          <w:rFonts w:ascii="Arial" w:hAnsi="Arial" w:cs="Arial"/>
        </w:rPr>
        <w:t xml:space="preserve"> du fonds </w:t>
      </w:r>
      <w:r w:rsidR="00285954" w:rsidRPr="00762C56">
        <w:rPr>
          <w:rFonts w:ascii="Arial" w:hAnsi="Arial" w:cs="Arial"/>
        </w:rPr>
        <w:t>d</w:t>
      </w:r>
      <w:r w:rsidR="00A545E3">
        <w:rPr>
          <w:rFonts w:ascii="Arial" w:hAnsi="Arial" w:cs="Arial"/>
        </w:rPr>
        <w:t>ans</w:t>
      </w:r>
      <w:r w:rsidR="00285954" w:rsidRPr="00762C56">
        <w:rPr>
          <w:rFonts w:ascii="Arial" w:hAnsi="Arial" w:cs="Arial"/>
        </w:rPr>
        <w:t xml:space="preserve"> </w:t>
      </w:r>
      <w:r w:rsidRPr="00762C56">
        <w:rPr>
          <w:rFonts w:ascii="Arial" w:hAnsi="Arial" w:cs="Arial"/>
        </w:rPr>
        <w:t>la stratégie</w:t>
      </w:r>
      <w:r w:rsidR="00971EFB">
        <w:rPr>
          <w:rFonts w:ascii="Arial" w:hAnsi="Arial" w:cs="Arial"/>
        </w:rPr>
        <w:t xml:space="preserve"> </w:t>
      </w:r>
      <w:r w:rsidR="00FD03C1">
        <w:rPr>
          <w:rFonts w:ascii="Arial" w:hAnsi="Arial" w:cs="Arial"/>
        </w:rPr>
        <w:t>(ventilation des encours de la stratégie)</w:t>
      </w:r>
      <w:r w:rsidR="00A545E3">
        <w:rPr>
          <w:rFonts w:ascii="Arial" w:hAnsi="Arial" w:cs="Arial"/>
        </w:rPr>
        <w:t xml:space="preserve"> </w:t>
      </w:r>
      <w:r w:rsidR="00285954" w:rsidRPr="00762C56">
        <w:rPr>
          <w:rFonts w:ascii="Arial" w:hAnsi="Arial" w:cs="Arial"/>
        </w:rPr>
        <w:t>?</w:t>
      </w:r>
    </w:p>
    <w:p w14:paraId="47B7B7F1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6E186F51" w14:textId="77777777" w:rsidR="00762C56" w:rsidRP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3A735D4E" w14:textId="77777777" w:rsidR="00E729D0" w:rsidRDefault="005B2273" w:rsidP="00762C56">
      <w:pPr>
        <w:pStyle w:val="Paragraphedeliste"/>
        <w:numPr>
          <w:ilvl w:val="0"/>
          <w:numId w:val="29"/>
        </w:numPr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t xml:space="preserve">Capacité maximale : </w:t>
      </w:r>
      <w:r w:rsidR="00347168" w:rsidRPr="00762C56">
        <w:rPr>
          <w:rFonts w:ascii="Arial" w:hAnsi="Arial" w:cs="Arial"/>
        </w:rPr>
        <w:t>Quels encours maximaux envisag</w:t>
      </w:r>
      <w:r w:rsidR="00924055" w:rsidRPr="00762C56">
        <w:rPr>
          <w:rFonts w:ascii="Arial" w:hAnsi="Arial" w:cs="Arial"/>
        </w:rPr>
        <w:t>ez-</w:t>
      </w:r>
      <w:r w:rsidR="00347168" w:rsidRPr="00762C56">
        <w:rPr>
          <w:rFonts w:ascii="Arial" w:hAnsi="Arial" w:cs="Arial"/>
        </w:rPr>
        <w:t xml:space="preserve">vous pour </w:t>
      </w:r>
      <w:r w:rsidR="004C7AE0" w:rsidRPr="00762C56">
        <w:rPr>
          <w:rFonts w:ascii="Arial" w:hAnsi="Arial" w:cs="Arial"/>
        </w:rPr>
        <w:t xml:space="preserve">le fonds et/ou </w:t>
      </w:r>
      <w:r w:rsidR="00347168" w:rsidRPr="00762C56">
        <w:rPr>
          <w:rFonts w:ascii="Arial" w:hAnsi="Arial" w:cs="Arial"/>
        </w:rPr>
        <w:t>la stratégie ?</w:t>
      </w:r>
      <w:r w:rsidR="00E729D0" w:rsidRPr="00762C56">
        <w:rPr>
          <w:rFonts w:ascii="Arial" w:hAnsi="Arial" w:cs="Arial"/>
        </w:rPr>
        <w:t xml:space="preserve"> Préciser la méthode utilisée pour estimer ce montant. </w:t>
      </w:r>
    </w:p>
    <w:p w14:paraId="76CF3BF2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073B9F1D" w14:textId="77777777" w:rsidR="00762C56" w:rsidRP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34044DE6" w14:textId="50E50108" w:rsidR="00072A0B" w:rsidRPr="004069EB" w:rsidRDefault="001E6A48" w:rsidP="00072A0B">
      <w:pPr>
        <w:pStyle w:val="Paragraphedeliste"/>
        <w:numPr>
          <w:ilvl w:val="0"/>
          <w:numId w:val="30"/>
        </w:numPr>
        <w:spacing w:after="120"/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t>Quelle est la répartition des encours du fonds par type d’investisseur ?</w:t>
      </w:r>
      <w:r w:rsidR="00072A0B">
        <w:rPr>
          <w:rFonts w:ascii="Arial" w:hAnsi="Arial" w:cs="Arial"/>
        </w:rPr>
        <w:t xml:space="preserve"> Préciser à quelle date. 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3260"/>
        <w:gridCol w:w="2410"/>
      </w:tblGrid>
      <w:tr w:rsidR="00D36D86" w:rsidRPr="002F5927" w14:paraId="6621FCAB" w14:textId="77777777" w:rsidTr="00D36D86">
        <w:trPr>
          <w:trHeight w:val="39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4CE2E49F" w14:textId="77777777" w:rsidR="00D36D86" w:rsidRPr="002F5927" w:rsidRDefault="00D36D86" w:rsidP="001E6A48">
            <w:pPr>
              <w:ind w:left="208" w:hanging="2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F592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Type d’investisseur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769850C" w14:textId="77777777" w:rsidR="00D36D86" w:rsidRPr="002F5927" w:rsidRDefault="00D36D86" w:rsidP="00D36D86">
            <w:pPr>
              <w:ind w:left="208" w:hanging="2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F592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% d’encours </w:t>
            </w:r>
          </w:p>
        </w:tc>
      </w:tr>
      <w:tr w:rsidR="00D36D86" w:rsidRPr="002F5927" w14:paraId="71C2C665" w14:textId="77777777" w:rsidTr="00D36D86">
        <w:trPr>
          <w:trHeight w:val="38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40E707C2" w14:textId="77777777" w:rsidR="00D36D86" w:rsidRPr="004069EB" w:rsidRDefault="00D36D86" w:rsidP="00762C56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  <w:lang w:val="fr-FR"/>
              </w:rPr>
            </w:pPr>
            <w:r w:rsidRPr="004069EB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 xml:space="preserve">Entreprises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CEF" w14:textId="77777777" w:rsidR="00D36D86" w:rsidRPr="002F5927" w:rsidRDefault="00D36D86" w:rsidP="001E6A48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56B0B143" w14:textId="77777777" w:rsidTr="00D36D86">
        <w:trPr>
          <w:trHeight w:val="447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8420E58" w14:textId="77777777" w:rsidR="00D36D86" w:rsidRPr="004069EB" w:rsidRDefault="00D36D86" w:rsidP="001E6A48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  <w:lang w:val="fr-FR"/>
              </w:rPr>
            </w:pPr>
            <w:r w:rsidRPr="004069EB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Multi gérants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3755" w14:textId="77777777" w:rsidR="00D36D86" w:rsidRPr="002F5927" w:rsidRDefault="00D36D86" w:rsidP="001E6A48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209FB990" w14:textId="77777777" w:rsidTr="00D36D86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38D3B12" w14:textId="77777777" w:rsidR="00D36D86" w:rsidRPr="002F5927" w:rsidRDefault="00D36D86" w:rsidP="001E6A48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  <w:lang w:val="fr-FR"/>
              </w:rPr>
            </w:pPr>
            <w:r w:rsidRPr="002F5927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Institutionnels (assurance, caisse de retraite, fondations, entités publiques, associations, fonds souverains)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24F" w14:textId="77777777" w:rsidR="00D36D86" w:rsidRPr="002F5927" w:rsidRDefault="00D36D86" w:rsidP="001E6A48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45752E22" w14:textId="77777777" w:rsidTr="00D36D86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2A9E7C57" w14:textId="77777777" w:rsidR="00D36D86" w:rsidRPr="002F5927" w:rsidRDefault="00D36D86" w:rsidP="001E6A48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  <w:lang w:val="fr-FR"/>
              </w:rPr>
            </w:pPr>
            <w:r w:rsidRPr="002F5927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distribution et réseaux / CGP / Banques privées et retail / plateforme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E3D5" w14:textId="77777777" w:rsidR="00D36D86" w:rsidRPr="002F5927" w:rsidRDefault="00D36D86" w:rsidP="001E6A48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1EA04293" w14:textId="77777777" w:rsidTr="00D36D86">
        <w:trPr>
          <w:trHeight w:val="418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B779A54" w14:textId="47441AF1" w:rsidR="00D36D86" w:rsidRPr="004069EB" w:rsidRDefault="00D36D86" w:rsidP="001E6A48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  <w:lang w:val="fr-FR"/>
              </w:rPr>
            </w:pPr>
            <w:r w:rsidRPr="004069EB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Autres (Préciser</w:t>
            </w:r>
            <w:r w:rsidR="00072A0B" w:rsidRPr="004069EB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: ex</w:t>
            </w:r>
            <w:r w:rsidR="00971EFB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.</w:t>
            </w:r>
            <w:r w:rsidR="00072A0B" w:rsidRPr="004069EB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 xml:space="preserve"> mandats internes</w:t>
            </w:r>
            <w:r w:rsidRPr="004069EB">
              <w:rPr>
                <w:rFonts w:ascii="Arial" w:hAnsi="Arial" w:cs="Arial"/>
                <w:color w:val="FFFFFF" w:themeColor="background1"/>
                <w:szCs w:val="20"/>
                <w:lang w:val="fr-FR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6965" w14:textId="77777777" w:rsidR="00D36D86" w:rsidRPr="002F5927" w:rsidRDefault="00D36D86" w:rsidP="001E6A48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0526D70D" w14:textId="77777777" w:rsidR="001E6A48" w:rsidRPr="002F5927" w:rsidRDefault="001E6A48" w:rsidP="001E6A48">
      <w:pPr>
        <w:ind w:left="1416"/>
        <w:jc w:val="both"/>
        <w:outlineLvl w:val="0"/>
        <w:rPr>
          <w:rFonts w:ascii="Arial" w:hAnsi="Arial" w:cs="Arial"/>
        </w:rPr>
      </w:pPr>
    </w:p>
    <w:p w14:paraId="3E14B270" w14:textId="77777777" w:rsidR="001E6A48" w:rsidRPr="002F5927" w:rsidRDefault="001E6A48" w:rsidP="001E6A48">
      <w:pPr>
        <w:ind w:left="1416"/>
        <w:jc w:val="both"/>
        <w:outlineLvl w:val="0"/>
        <w:rPr>
          <w:rFonts w:ascii="Arial" w:hAnsi="Arial" w:cs="Arial"/>
        </w:rPr>
      </w:pPr>
    </w:p>
    <w:p w14:paraId="5AD421A6" w14:textId="5A5F8D02" w:rsidR="001E6A48" w:rsidRDefault="001E6A48" w:rsidP="001E6A48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 xml:space="preserve">Quel est le pourcentage </w:t>
      </w:r>
      <w:r w:rsidR="009F54E4" w:rsidRPr="002F5927">
        <w:rPr>
          <w:rFonts w:ascii="Arial" w:hAnsi="Arial" w:cs="Arial"/>
        </w:rPr>
        <w:t xml:space="preserve">global </w:t>
      </w:r>
      <w:r w:rsidR="006E2186" w:rsidRPr="002F5927">
        <w:rPr>
          <w:rFonts w:ascii="Arial" w:hAnsi="Arial" w:cs="Arial"/>
        </w:rPr>
        <w:t xml:space="preserve">détenu </w:t>
      </w:r>
      <w:r w:rsidR="009F54E4" w:rsidRPr="002F5927">
        <w:rPr>
          <w:rFonts w:ascii="Arial" w:hAnsi="Arial" w:cs="Arial"/>
        </w:rPr>
        <w:t>au passif du fonds</w:t>
      </w:r>
      <w:r w:rsidR="00FD03C1">
        <w:rPr>
          <w:rFonts w:ascii="Arial" w:hAnsi="Arial" w:cs="Arial"/>
        </w:rPr>
        <w:t>/ de la stratégie</w:t>
      </w:r>
      <w:r w:rsidR="009F54E4" w:rsidRPr="002F5927">
        <w:rPr>
          <w:rFonts w:ascii="Arial" w:hAnsi="Arial" w:cs="Arial"/>
        </w:rPr>
        <w:t xml:space="preserve"> </w:t>
      </w:r>
      <w:r w:rsidRPr="002F5927">
        <w:rPr>
          <w:rFonts w:ascii="Arial" w:hAnsi="Arial" w:cs="Arial"/>
        </w:rPr>
        <w:t>par les 5 plus gros investisseurs ?</w:t>
      </w:r>
    </w:p>
    <w:p w14:paraId="1EB15C32" w14:textId="77777777" w:rsidR="00A545E3" w:rsidRPr="00A545E3" w:rsidRDefault="00A545E3" w:rsidP="00DB6286">
      <w:pPr>
        <w:ind w:left="851"/>
        <w:jc w:val="both"/>
        <w:outlineLvl w:val="0"/>
        <w:rPr>
          <w:rFonts w:ascii="Arial" w:hAnsi="Arial" w:cs="Arial"/>
        </w:rPr>
      </w:pPr>
    </w:p>
    <w:p w14:paraId="171BD2A5" w14:textId="77777777" w:rsidR="001E6A48" w:rsidRPr="002F5927" w:rsidRDefault="001E6A48" w:rsidP="001E6A48">
      <w:pPr>
        <w:outlineLvl w:val="0"/>
        <w:rPr>
          <w:rFonts w:ascii="Arial" w:hAnsi="Arial" w:cs="Arial"/>
        </w:rPr>
      </w:pPr>
    </w:p>
    <w:p w14:paraId="3BC06EAB" w14:textId="6225D3E7" w:rsidR="00072A0B" w:rsidRDefault="00971EFB" w:rsidP="00072A0B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Indiquer</w:t>
      </w:r>
      <w:r w:rsidR="00072A0B">
        <w:rPr>
          <w:rFonts w:ascii="Arial" w:hAnsi="Arial" w:cs="Arial"/>
        </w:rPr>
        <w:t xml:space="preserve"> le montant des souscriptions et des rachats</w:t>
      </w:r>
      <w:r w:rsidR="0071076A">
        <w:rPr>
          <w:rFonts w:ascii="Arial" w:hAnsi="Arial" w:cs="Arial"/>
        </w:rPr>
        <w:t xml:space="preserve"> sur le fonds </w:t>
      </w:r>
    </w:p>
    <w:p w14:paraId="677AC9A8" w14:textId="073AC5DD" w:rsidR="00072A0B" w:rsidRDefault="00072A0B" w:rsidP="004069EB">
      <w:pPr>
        <w:jc w:val="both"/>
        <w:outlineLvl w:val="0"/>
        <w:rPr>
          <w:rFonts w:ascii="Arial" w:hAnsi="Arial" w:cs="Arial"/>
        </w:rPr>
      </w:pPr>
    </w:p>
    <w:p w14:paraId="74C573D7" w14:textId="20ECC1AC" w:rsidR="00072A0B" w:rsidRDefault="00072A0B" w:rsidP="004069EB">
      <w:pPr>
        <w:jc w:val="both"/>
        <w:outlineLvl w:val="0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A545E3" w:rsidRPr="00A545E3" w14:paraId="02923E7C" w14:textId="77777777" w:rsidTr="00A545E3">
        <w:trPr>
          <w:jc w:val="center"/>
        </w:trPr>
        <w:tc>
          <w:tcPr>
            <w:tcW w:w="2265" w:type="dxa"/>
            <w:shd w:val="clear" w:color="auto" w:fill="1F497D" w:themeFill="text2"/>
          </w:tcPr>
          <w:p w14:paraId="650FCD5E" w14:textId="77777777" w:rsidR="00072A0B" w:rsidRPr="00A545E3" w:rsidRDefault="00072A0B" w:rsidP="00A545E3">
            <w:pPr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65" w:type="dxa"/>
            <w:shd w:val="clear" w:color="auto" w:fill="1F497D" w:themeFill="text2"/>
          </w:tcPr>
          <w:p w14:paraId="2A4685C3" w14:textId="7A888822" w:rsidR="00072A0B" w:rsidRPr="00A545E3" w:rsidRDefault="00072A0B" w:rsidP="00A545E3">
            <w:pPr>
              <w:spacing w:after="120"/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  <w:r w:rsidRPr="00A545E3">
              <w:rPr>
                <w:rFonts w:ascii="Arial" w:hAnsi="Arial" w:cs="Arial"/>
                <w:b/>
                <w:color w:val="FFFFFF" w:themeColor="background1"/>
              </w:rPr>
              <w:t>Souscriptions</w:t>
            </w:r>
          </w:p>
        </w:tc>
        <w:tc>
          <w:tcPr>
            <w:tcW w:w="2266" w:type="dxa"/>
            <w:shd w:val="clear" w:color="auto" w:fill="1F497D" w:themeFill="text2"/>
          </w:tcPr>
          <w:p w14:paraId="6E8651EB" w14:textId="2A4BD09B" w:rsidR="00072A0B" w:rsidRPr="00A545E3" w:rsidRDefault="00072A0B" w:rsidP="00A545E3">
            <w:pPr>
              <w:spacing w:after="120"/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  <w:r w:rsidRPr="00A545E3">
              <w:rPr>
                <w:rFonts w:ascii="Arial" w:hAnsi="Arial" w:cs="Arial"/>
                <w:b/>
                <w:color w:val="FFFFFF" w:themeColor="background1"/>
              </w:rPr>
              <w:t>Rachats</w:t>
            </w:r>
          </w:p>
        </w:tc>
      </w:tr>
      <w:tr w:rsidR="00072A0B" w14:paraId="220D353F" w14:textId="77777777" w:rsidTr="00A545E3">
        <w:trPr>
          <w:jc w:val="center"/>
        </w:trPr>
        <w:tc>
          <w:tcPr>
            <w:tcW w:w="2265" w:type="dxa"/>
            <w:shd w:val="clear" w:color="auto" w:fill="1F497D" w:themeFill="text2"/>
          </w:tcPr>
          <w:p w14:paraId="3F73BDD0" w14:textId="43E5DBAB" w:rsidR="00072A0B" w:rsidRPr="00A545E3" w:rsidRDefault="00072A0B" w:rsidP="00072A0B">
            <w:pPr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A545E3">
              <w:rPr>
                <w:rFonts w:ascii="Arial" w:hAnsi="Arial" w:cs="Arial"/>
                <w:color w:val="FFFFFF" w:themeColor="background1"/>
              </w:rPr>
              <w:t>N-1</w:t>
            </w:r>
          </w:p>
        </w:tc>
        <w:tc>
          <w:tcPr>
            <w:tcW w:w="2265" w:type="dxa"/>
          </w:tcPr>
          <w:p w14:paraId="5645B931" w14:textId="77777777" w:rsidR="00072A0B" w:rsidRDefault="00072A0B" w:rsidP="00072A0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BDE7B78" w14:textId="77777777" w:rsidR="00072A0B" w:rsidRDefault="00072A0B" w:rsidP="00072A0B">
            <w:pPr>
              <w:outlineLvl w:val="0"/>
              <w:rPr>
                <w:rFonts w:ascii="Arial" w:hAnsi="Arial" w:cs="Arial"/>
              </w:rPr>
            </w:pPr>
          </w:p>
        </w:tc>
      </w:tr>
      <w:tr w:rsidR="00072A0B" w14:paraId="3C27675F" w14:textId="77777777" w:rsidTr="00A545E3">
        <w:trPr>
          <w:jc w:val="center"/>
        </w:trPr>
        <w:tc>
          <w:tcPr>
            <w:tcW w:w="2265" w:type="dxa"/>
            <w:shd w:val="clear" w:color="auto" w:fill="1F497D" w:themeFill="text2"/>
          </w:tcPr>
          <w:p w14:paraId="6FC0752B" w14:textId="3D08E807" w:rsidR="00072A0B" w:rsidRPr="00A545E3" w:rsidRDefault="00072A0B" w:rsidP="00072A0B">
            <w:pPr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A545E3">
              <w:rPr>
                <w:rFonts w:ascii="Arial" w:hAnsi="Arial" w:cs="Arial"/>
                <w:color w:val="FFFFFF" w:themeColor="background1"/>
              </w:rPr>
              <w:t>N-2</w:t>
            </w:r>
          </w:p>
        </w:tc>
        <w:tc>
          <w:tcPr>
            <w:tcW w:w="2265" w:type="dxa"/>
          </w:tcPr>
          <w:p w14:paraId="455BF72B" w14:textId="77777777" w:rsidR="00072A0B" w:rsidRDefault="00072A0B" w:rsidP="00072A0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42612E5" w14:textId="77777777" w:rsidR="00072A0B" w:rsidRDefault="00072A0B" w:rsidP="00072A0B">
            <w:pPr>
              <w:outlineLvl w:val="0"/>
              <w:rPr>
                <w:rFonts w:ascii="Arial" w:hAnsi="Arial" w:cs="Arial"/>
              </w:rPr>
            </w:pPr>
          </w:p>
        </w:tc>
      </w:tr>
      <w:tr w:rsidR="00072A0B" w14:paraId="70D817B0" w14:textId="77777777" w:rsidTr="00A545E3">
        <w:trPr>
          <w:jc w:val="center"/>
        </w:trPr>
        <w:tc>
          <w:tcPr>
            <w:tcW w:w="2265" w:type="dxa"/>
            <w:shd w:val="clear" w:color="auto" w:fill="1F497D" w:themeFill="text2"/>
          </w:tcPr>
          <w:p w14:paraId="4EB58DA3" w14:textId="380E4105" w:rsidR="00072A0B" w:rsidRPr="00A545E3" w:rsidRDefault="00072A0B" w:rsidP="00072A0B">
            <w:pPr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A545E3">
              <w:rPr>
                <w:rFonts w:ascii="Arial" w:hAnsi="Arial" w:cs="Arial"/>
                <w:color w:val="FFFFFF" w:themeColor="background1"/>
              </w:rPr>
              <w:t>N-3</w:t>
            </w:r>
          </w:p>
        </w:tc>
        <w:tc>
          <w:tcPr>
            <w:tcW w:w="2265" w:type="dxa"/>
          </w:tcPr>
          <w:p w14:paraId="26079629" w14:textId="77777777" w:rsidR="00072A0B" w:rsidRDefault="00072A0B" w:rsidP="00072A0B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C18649C" w14:textId="77777777" w:rsidR="00072A0B" w:rsidRDefault="00072A0B" w:rsidP="00072A0B">
            <w:pPr>
              <w:outlineLvl w:val="0"/>
              <w:rPr>
                <w:rFonts w:ascii="Arial" w:hAnsi="Arial" w:cs="Arial"/>
              </w:rPr>
            </w:pPr>
          </w:p>
        </w:tc>
      </w:tr>
    </w:tbl>
    <w:p w14:paraId="35CE9C0E" w14:textId="77777777" w:rsidR="00072A0B" w:rsidRPr="00072A0B" w:rsidRDefault="00072A0B" w:rsidP="004069EB">
      <w:pPr>
        <w:jc w:val="both"/>
        <w:outlineLvl w:val="0"/>
        <w:rPr>
          <w:rFonts w:ascii="Arial" w:hAnsi="Arial" w:cs="Arial"/>
        </w:rPr>
      </w:pPr>
    </w:p>
    <w:p w14:paraId="216CC8A7" w14:textId="77777777" w:rsidR="001E6A48" w:rsidRPr="002F5927" w:rsidRDefault="001E6A48" w:rsidP="001E6A48">
      <w:pPr>
        <w:rPr>
          <w:rFonts w:ascii="Arial" w:hAnsi="Arial" w:cs="Arial"/>
          <w:b/>
          <w:bCs/>
          <w:sz w:val="28"/>
          <w:szCs w:val="28"/>
        </w:rPr>
      </w:pPr>
      <w:r w:rsidRPr="002F5927">
        <w:rPr>
          <w:rFonts w:ascii="Arial" w:hAnsi="Arial" w:cs="Arial"/>
          <w:b/>
          <w:bCs/>
          <w:sz w:val="28"/>
          <w:szCs w:val="28"/>
        </w:rPr>
        <w:br w:type="page"/>
      </w:r>
    </w:p>
    <w:p w14:paraId="655A77CC" w14:textId="5B51223D" w:rsidR="00F626F9" w:rsidRPr="002F5927" w:rsidRDefault="001E6A48" w:rsidP="00F626F9">
      <w:pPr>
        <w:pStyle w:val="Titre1"/>
      </w:pPr>
      <w:r w:rsidRPr="002F5927">
        <w:lastRenderedPageBreak/>
        <w:t>I</w:t>
      </w:r>
      <w:r w:rsidR="00BA5768">
        <w:t>II</w:t>
      </w:r>
      <w:r w:rsidR="00971EFB">
        <w:t xml:space="preserve"> - </w:t>
      </w:r>
      <w:r w:rsidR="00971EFB" w:rsidRPr="002F5927">
        <w:t>Équipe</w:t>
      </w:r>
      <w:r w:rsidRPr="002F5927">
        <w:t xml:space="preserve"> de gestion du fonds</w:t>
      </w:r>
    </w:p>
    <w:p w14:paraId="5AB2B1BD" w14:textId="77777777" w:rsidR="001E6A48" w:rsidRPr="002F5927" w:rsidRDefault="001E6A48" w:rsidP="001E6A48">
      <w:pPr>
        <w:outlineLvl w:val="0"/>
        <w:rPr>
          <w:rFonts w:ascii="Arial" w:hAnsi="Arial" w:cs="Arial"/>
        </w:rPr>
      </w:pPr>
    </w:p>
    <w:p w14:paraId="14597754" w14:textId="77777777" w:rsidR="001E6A48" w:rsidRPr="002F5927" w:rsidRDefault="001E6A48" w:rsidP="001E6A48">
      <w:pPr>
        <w:outlineLvl w:val="0"/>
        <w:rPr>
          <w:rFonts w:ascii="Arial" w:hAnsi="Arial" w:cs="Arial"/>
        </w:rPr>
      </w:pPr>
    </w:p>
    <w:p w14:paraId="474398EC" w14:textId="77777777" w:rsidR="001E6A48" w:rsidRPr="002F5927" w:rsidRDefault="001E6A48" w:rsidP="00762C56">
      <w:pPr>
        <w:numPr>
          <w:ilvl w:val="0"/>
          <w:numId w:val="30"/>
        </w:numPr>
        <w:ind w:left="851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Décrire l’équipe de gestion du fonds et son organisation. Quelle est sa localisation géographique ?</w:t>
      </w:r>
    </w:p>
    <w:p w14:paraId="074E738C" w14:textId="77777777" w:rsidR="00521004" w:rsidRDefault="00521004" w:rsidP="00762C56">
      <w:pPr>
        <w:autoSpaceDE w:val="0"/>
        <w:autoSpaceDN w:val="0"/>
        <w:adjustRightInd w:val="0"/>
        <w:ind w:left="-1"/>
        <w:jc w:val="both"/>
        <w:rPr>
          <w:rFonts w:ascii="Arial" w:hAnsi="Arial" w:cs="Arial"/>
        </w:rPr>
      </w:pPr>
    </w:p>
    <w:p w14:paraId="67B38538" w14:textId="77777777" w:rsidR="00762C56" w:rsidRPr="00762C56" w:rsidRDefault="00762C56" w:rsidP="00762C56">
      <w:pPr>
        <w:autoSpaceDE w:val="0"/>
        <w:autoSpaceDN w:val="0"/>
        <w:adjustRightInd w:val="0"/>
        <w:ind w:left="-1"/>
        <w:jc w:val="both"/>
        <w:rPr>
          <w:rFonts w:ascii="Arial" w:hAnsi="Arial" w:cs="Arial"/>
        </w:rPr>
      </w:pPr>
    </w:p>
    <w:p w14:paraId="6D0A9A7F" w14:textId="77777777" w:rsidR="001E6A48" w:rsidRPr="002F5927" w:rsidRDefault="001E6A48" w:rsidP="00762C56">
      <w:pPr>
        <w:numPr>
          <w:ilvl w:val="0"/>
          <w:numId w:val="30"/>
        </w:numPr>
        <w:ind w:left="851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Préciser l’expérience de l’équipe de gestion :</w:t>
      </w:r>
    </w:p>
    <w:p w14:paraId="4AD5DC38" w14:textId="4022DDE8" w:rsidR="001E6A48" w:rsidRPr="002F5927" w:rsidRDefault="001E6A48" w:rsidP="001E6A48">
      <w:pPr>
        <w:outlineLvl w:val="0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2198"/>
        <w:gridCol w:w="1699"/>
        <w:gridCol w:w="1549"/>
        <w:gridCol w:w="1599"/>
      </w:tblGrid>
      <w:tr w:rsidR="001E6A48" w:rsidRPr="002F5927" w14:paraId="09D8CE98" w14:textId="77777777" w:rsidTr="00D36D86">
        <w:trPr>
          <w:trHeight w:val="410"/>
          <w:jc w:val="center"/>
        </w:trPr>
        <w:tc>
          <w:tcPr>
            <w:tcW w:w="2090" w:type="dxa"/>
            <w:vMerge w:val="restart"/>
            <w:shd w:val="clear" w:color="auto" w:fill="1F497D" w:themeFill="text2"/>
            <w:vAlign w:val="center"/>
          </w:tcPr>
          <w:p w14:paraId="096E2158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</w:t>
            </w:r>
          </w:p>
        </w:tc>
        <w:tc>
          <w:tcPr>
            <w:tcW w:w="2257" w:type="dxa"/>
            <w:vMerge w:val="restart"/>
            <w:shd w:val="clear" w:color="auto" w:fill="1F497D" w:themeFill="text2"/>
            <w:vAlign w:val="center"/>
          </w:tcPr>
          <w:p w14:paraId="6101EE01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Fonction</w:t>
            </w:r>
            <w:r w:rsidR="006D2AB3"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(gérant principal, back-up…)</w:t>
            </w:r>
          </w:p>
        </w:tc>
        <w:tc>
          <w:tcPr>
            <w:tcW w:w="4941" w:type="dxa"/>
            <w:gridSpan w:val="3"/>
            <w:shd w:val="clear" w:color="auto" w:fill="1F497D" w:themeFill="text2"/>
            <w:vAlign w:val="center"/>
          </w:tcPr>
          <w:p w14:paraId="22148FAE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Expérience en nombre d’années dans :</w:t>
            </w:r>
          </w:p>
        </w:tc>
      </w:tr>
      <w:tr w:rsidR="001E6A48" w:rsidRPr="002F5927" w14:paraId="14E99588" w14:textId="77777777" w:rsidTr="00D36D86">
        <w:trPr>
          <w:jc w:val="center"/>
        </w:trPr>
        <w:tc>
          <w:tcPr>
            <w:tcW w:w="2090" w:type="dxa"/>
            <w:vMerge/>
            <w:shd w:val="clear" w:color="auto" w:fill="1F497D" w:themeFill="text2"/>
            <w:vAlign w:val="center"/>
          </w:tcPr>
          <w:p w14:paraId="5D7A6287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1F497D" w:themeFill="text2"/>
            <w:vAlign w:val="center"/>
          </w:tcPr>
          <w:p w14:paraId="3B22AF8F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1F497D" w:themeFill="text2"/>
            <w:vAlign w:val="center"/>
          </w:tcPr>
          <w:p w14:paraId="3CB5C49C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 fonction de gestion</w:t>
            </w:r>
          </w:p>
        </w:tc>
        <w:tc>
          <w:tcPr>
            <w:tcW w:w="1583" w:type="dxa"/>
            <w:shd w:val="clear" w:color="auto" w:fill="1F497D" w:themeFill="text2"/>
            <w:vAlign w:val="center"/>
          </w:tcPr>
          <w:p w14:paraId="24446F56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 société</w:t>
            </w:r>
          </w:p>
        </w:tc>
        <w:tc>
          <w:tcPr>
            <w:tcW w:w="1622" w:type="dxa"/>
            <w:shd w:val="clear" w:color="auto" w:fill="1F497D" w:themeFill="text2"/>
            <w:vAlign w:val="center"/>
          </w:tcPr>
          <w:p w14:paraId="707007D6" w14:textId="77777777" w:rsidR="001E6A48" w:rsidRPr="002F5927" w:rsidRDefault="001E6A48" w:rsidP="001E6A48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59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l’industrie</w:t>
            </w:r>
          </w:p>
        </w:tc>
      </w:tr>
      <w:tr w:rsidR="001E6A48" w:rsidRPr="002F5927" w14:paraId="4EDBAC96" w14:textId="77777777" w:rsidTr="00D36D86">
        <w:trPr>
          <w:jc w:val="center"/>
        </w:trPr>
        <w:tc>
          <w:tcPr>
            <w:tcW w:w="2090" w:type="dxa"/>
            <w:shd w:val="clear" w:color="auto" w:fill="auto"/>
          </w:tcPr>
          <w:p w14:paraId="601A2E63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67727DB4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</w:tcPr>
          <w:p w14:paraId="2E4D5841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14:paraId="683F84BC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67D4194E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</w:tr>
      <w:tr w:rsidR="001E6A48" w:rsidRPr="002F5927" w14:paraId="6E7D7F49" w14:textId="77777777" w:rsidTr="00D36D86">
        <w:trPr>
          <w:jc w:val="center"/>
        </w:trPr>
        <w:tc>
          <w:tcPr>
            <w:tcW w:w="2090" w:type="dxa"/>
            <w:shd w:val="clear" w:color="auto" w:fill="auto"/>
          </w:tcPr>
          <w:p w14:paraId="5C78DBDE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2397CAA3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</w:tcPr>
          <w:p w14:paraId="114593C7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14:paraId="3542F47D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64AA25EA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</w:tr>
      <w:tr w:rsidR="001E6A48" w:rsidRPr="002F5927" w14:paraId="646630DD" w14:textId="77777777" w:rsidTr="00D36D86">
        <w:trPr>
          <w:jc w:val="center"/>
        </w:trPr>
        <w:tc>
          <w:tcPr>
            <w:tcW w:w="2090" w:type="dxa"/>
            <w:shd w:val="clear" w:color="auto" w:fill="auto"/>
          </w:tcPr>
          <w:p w14:paraId="5F890855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2711859D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</w:tcPr>
          <w:p w14:paraId="663F9E9E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14:paraId="31B4F149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059947DA" w14:textId="77777777" w:rsidR="001E6A48" w:rsidRPr="002F5927" w:rsidRDefault="001E6A48" w:rsidP="001E6A48">
            <w:pPr>
              <w:outlineLvl w:val="0"/>
              <w:rPr>
                <w:rFonts w:ascii="Arial" w:hAnsi="Arial" w:cs="Arial"/>
              </w:rPr>
            </w:pPr>
          </w:p>
        </w:tc>
      </w:tr>
    </w:tbl>
    <w:p w14:paraId="3F6D70BE" w14:textId="77777777" w:rsidR="001E6A48" w:rsidRPr="00D36D86" w:rsidRDefault="001E6A48" w:rsidP="001E6A48">
      <w:pPr>
        <w:outlineLvl w:val="0"/>
        <w:rPr>
          <w:rFonts w:ascii="Arial" w:hAnsi="Arial" w:cs="Arial"/>
        </w:rPr>
      </w:pPr>
    </w:p>
    <w:p w14:paraId="648AF66C" w14:textId="77777777" w:rsidR="00D36D86" w:rsidRPr="00D36D86" w:rsidRDefault="00D36D86" w:rsidP="001E6A48">
      <w:pPr>
        <w:outlineLvl w:val="0"/>
        <w:rPr>
          <w:rFonts w:ascii="Arial" w:hAnsi="Arial" w:cs="Arial"/>
        </w:rPr>
      </w:pPr>
    </w:p>
    <w:p w14:paraId="421C7F6D" w14:textId="77777777" w:rsidR="00762C56" w:rsidRPr="00762C56" w:rsidRDefault="001E6A48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Joindre les CV pertinents</w:t>
      </w:r>
      <w:r w:rsidR="007B6C37" w:rsidRPr="002F5927">
        <w:rPr>
          <w:rFonts w:ascii="Arial" w:hAnsi="Arial" w:cs="Arial"/>
        </w:rPr>
        <w:t xml:space="preserve"> (les gérants impliqués dans la gestion, responsable de l’équipe et CIO responsable de la stratégie / classe d’actifs)</w:t>
      </w:r>
      <w:r w:rsidR="00762C56">
        <w:rPr>
          <w:rFonts w:ascii="Arial" w:hAnsi="Arial" w:cs="Arial"/>
        </w:rPr>
        <w:t xml:space="preserve">. </w:t>
      </w:r>
      <w:r w:rsidRPr="00762C56">
        <w:rPr>
          <w:rFonts w:ascii="Arial" w:hAnsi="Arial" w:cs="Arial"/>
        </w:rPr>
        <w:t xml:space="preserve">Signaler les </w:t>
      </w:r>
      <w:r w:rsidR="006A0447" w:rsidRPr="00762C56">
        <w:rPr>
          <w:rFonts w:ascii="Arial" w:hAnsi="Arial" w:cs="Arial"/>
        </w:rPr>
        <w:t>entrées/sorties</w:t>
      </w:r>
      <w:r w:rsidRPr="00762C56">
        <w:rPr>
          <w:rFonts w:ascii="Arial" w:hAnsi="Arial" w:cs="Arial"/>
        </w:rPr>
        <w:t xml:space="preserve"> intervenu</w:t>
      </w:r>
      <w:r w:rsidR="001A1E09" w:rsidRPr="00762C56">
        <w:rPr>
          <w:rFonts w:ascii="Arial" w:hAnsi="Arial" w:cs="Arial"/>
        </w:rPr>
        <w:t>e</w:t>
      </w:r>
      <w:r w:rsidRPr="00762C56">
        <w:rPr>
          <w:rFonts w:ascii="Arial" w:hAnsi="Arial" w:cs="Arial"/>
        </w:rPr>
        <w:t>s au sein de l’équipe de gestion du fonds</w:t>
      </w:r>
      <w:r w:rsidR="007D50F5" w:rsidRPr="00762C56">
        <w:rPr>
          <w:rFonts w:ascii="Arial" w:hAnsi="Arial" w:cs="Arial"/>
        </w:rPr>
        <w:t xml:space="preserve"> </w:t>
      </w:r>
      <w:r w:rsidR="006D2AB3" w:rsidRPr="00762C56">
        <w:rPr>
          <w:rFonts w:ascii="Arial" w:hAnsi="Arial" w:cs="Arial"/>
        </w:rPr>
        <w:t xml:space="preserve">au cours des 5 dernières années. </w:t>
      </w:r>
    </w:p>
    <w:p w14:paraId="5A514B8B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7BCBF041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59CCE8DE" w14:textId="44562771" w:rsidR="002E25F0" w:rsidRPr="002F5927" w:rsidRDefault="00DB6286" w:rsidP="002E25F0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E25F0" w:rsidRPr="002F5927">
        <w:rPr>
          <w:rFonts w:ascii="Arial" w:hAnsi="Arial" w:cs="Arial"/>
        </w:rPr>
        <w:t xml:space="preserve">odalités d’évaluation </w:t>
      </w:r>
      <w:r w:rsidR="002E25F0">
        <w:rPr>
          <w:rFonts w:ascii="Arial" w:hAnsi="Arial" w:cs="Arial"/>
        </w:rPr>
        <w:t>et de rémunération des analystes et gérants</w:t>
      </w:r>
      <w:r w:rsidR="002E25F0" w:rsidRPr="002F5927">
        <w:rPr>
          <w:rFonts w:ascii="Arial" w:hAnsi="Arial" w:cs="Arial"/>
        </w:rPr>
        <w:t xml:space="preserve">. </w:t>
      </w:r>
    </w:p>
    <w:p w14:paraId="250E8536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3919260F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14D5E531" w14:textId="77777777" w:rsidR="007D50F5" w:rsidRDefault="007D50F5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Exist</w:t>
      </w:r>
      <w:r w:rsidR="008B3A1A" w:rsidRPr="002F5927">
        <w:rPr>
          <w:rFonts w:ascii="Arial" w:hAnsi="Arial" w:cs="Arial"/>
        </w:rPr>
        <w:t>e</w:t>
      </w:r>
      <w:r w:rsidRPr="002F5927">
        <w:rPr>
          <w:rFonts w:ascii="Arial" w:hAnsi="Arial" w:cs="Arial"/>
        </w:rPr>
        <w:t>nce de synergies avec d’autres équipes de gestion au sein de la société de gestion ?</w:t>
      </w:r>
    </w:p>
    <w:p w14:paraId="6CC6572C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100B330A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18B1CA72" w14:textId="77777777" w:rsidR="001E6A48" w:rsidRPr="002F5927" w:rsidRDefault="00D36D86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Préciser la liste des portefeuilles </w:t>
      </w:r>
      <w:r w:rsidR="001E6A48" w:rsidRPr="002F5927">
        <w:rPr>
          <w:rFonts w:ascii="Arial" w:hAnsi="Arial" w:cs="Arial"/>
        </w:rPr>
        <w:t>sous la responsabilité du gérant</w:t>
      </w:r>
      <w:r w:rsidR="0032086F" w:rsidRPr="002F5927">
        <w:rPr>
          <w:rFonts w:ascii="Arial" w:hAnsi="Arial" w:cs="Arial"/>
        </w:rPr>
        <w:t xml:space="preserve"> et/ou de l’</w:t>
      </w:r>
      <w:r w:rsidR="001E6A48" w:rsidRPr="002F5927">
        <w:rPr>
          <w:rFonts w:ascii="Arial" w:hAnsi="Arial" w:cs="Arial"/>
        </w:rPr>
        <w:t xml:space="preserve">équipe de gestion. </w:t>
      </w:r>
    </w:p>
    <w:p w14:paraId="77B039A6" w14:textId="77777777" w:rsidR="00861BA2" w:rsidRPr="002F5927" w:rsidRDefault="00861BA2" w:rsidP="00861BA2">
      <w:pPr>
        <w:jc w:val="both"/>
        <w:outlineLvl w:val="0"/>
        <w:rPr>
          <w:rFonts w:ascii="Arial" w:hAnsi="Arial" w:cs="Arial"/>
        </w:rPr>
      </w:pPr>
    </w:p>
    <w:tbl>
      <w:tblPr>
        <w:tblW w:w="8896" w:type="dxa"/>
        <w:jc w:val="center"/>
        <w:tblLook w:val="04A0" w:firstRow="1" w:lastRow="0" w:firstColumn="1" w:lastColumn="0" w:noHBand="0" w:noVBand="1"/>
      </w:tblPr>
      <w:tblGrid>
        <w:gridCol w:w="2868"/>
        <w:gridCol w:w="1676"/>
        <w:gridCol w:w="2410"/>
        <w:gridCol w:w="1942"/>
      </w:tblGrid>
      <w:tr w:rsidR="00D36D86" w:rsidRPr="002F5927" w14:paraId="4FE8E6DB" w14:textId="77777777" w:rsidTr="00D36D86">
        <w:trPr>
          <w:trHeight w:val="394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EA08506" w14:textId="77777777" w:rsidR="00D36D86" w:rsidRPr="002F5927" w:rsidRDefault="00D36D86" w:rsidP="0032086F">
            <w:pPr>
              <w:ind w:left="208" w:hanging="2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F592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Type de fonds (OPC, FIA, mandat, ouvert ou dédié)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F1C0A6D" w14:textId="77777777" w:rsidR="00D36D86" w:rsidRPr="002F5927" w:rsidRDefault="00D36D86" w:rsidP="00621503">
            <w:pPr>
              <w:ind w:left="208" w:hanging="2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Nom du portefeuille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61C8C9DE" w14:textId="77777777" w:rsidR="00D36D86" w:rsidRPr="002F5927" w:rsidRDefault="00D36D86" w:rsidP="00621503">
            <w:pPr>
              <w:ind w:left="208" w:hanging="2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F592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Type de stratégie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EF5346B" w14:textId="77777777" w:rsidR="00D36D86" w:rsidRPr="002F5927" w:rsidRDefault="00D36D86" w:rsidP="001A39F7">
            <w:pPr>
              <w:ind w:left="208" w:hanging="2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F592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Encours</w:t>
            </w:r>
          </w:p>
        </w:tc>
      </w:tr>
      <w:tr w:rsidR="00D36D86" w:rsidRPr="002F5927" w14:paraId="62DBB25C" w14:textId="77777777" w:rsidTr="00D36D86">
        <w:trPr>
          <w:trHeight w:val="384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2E4F" w14:textId="77777777" w:rsidR="00D36D86" w:rsidRPr="002F5927" w:rsidRDefault="00D36D86" w:rsidP="001B4A4E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662DF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B425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AC95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5ED7B51E" w14:textId="77777777" w:rsidTr="00D36D86">
        <w:trPr>
          <w:trHeight w:val="384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5249" w14:textId="77777777" w:rsidR="00D36D86" w:rsidRPr="002F5927" w:rsidRDefault="00D36D86" w:rsidP="001B4A4E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F6C5A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6428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137F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44C95A3E" w14:textId="77777777" w:rsidTr="00D36D86">
        <w:trPr>
          <w:trHeight w:val="447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32C4" w14:textId="77777777" w:rsidR="00D36D86" w:rsidRPr="002F5927" w:rsidRDefault="00D36D86" w:rsidP="001B4A4E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44E23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72C0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0805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7B794EA3" w14:textId="77777777" w:rsidTr="00D36D86">
        <w:trPr>
          <w:trHeight w:val="30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DFBA" w14:textId="77777777" w:rsidR="00D36D86" w:rsidRPr="002F5927" w:rsidRDefault="00D36D86" w:rsidP="001B4A4E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  <w:lang w:val="fr-F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ECF4B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394E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1CA3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1AF12654" w14:textId="77777777" w:rsidTr="00D36D86">
        <w:trPr>
          <w:trHeight w:val="300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B09B" w14:textId="77777777" w:rsidR="00D36D86" w:rsidRPr="002F5927" w:rsidRDefault="00D36D86" w:rsidP="001B4A4E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  <w:lang w:val="fr-F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3201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2867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E1AA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D36D86" w:rsidRPr="002F5927" w14:paraId="022F50E4" w14:textId="77777777" w:rsidTr="00D36D86">
        <w:trPr>
          <w:trHeight w:val="418"/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29D3" w14:textId="77777777" w:rsidR="00D36D86" w:rsidRPr="002F5927" w:rsidRDefault="00D36D86" w:rsidP="001B4A4E">
            <w:pPr>
              <w:pStyle w:val="Corpsdetexte"/>
              <w:keepNext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95E2A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5B48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B3D1" w14:textId="77777777" w:rsidR="00D36D86" w:rsidRPr="002F5927" w:rsidRDefault="00D36D86" w:rsidP="001B4A4E">
            <w:pPr>
              <w:ind w:left="208" w:hanging="208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6C3EE6E2" w14:textId="77777777" w:rsidR="006D2AB3" w:rsidRPr="002F5927" w:rsidRDefault="006D2AB3" w:rsidP="00861BA2">
      <w:pPr>
        <w:jc w:val="both"/>
        <w:outlineLvl w:val="0"/>
        <w:rPr>
          <w:rFonts w:ascii="Arial" w:hAnsi="Arial" w:cs="Arial"/>
        </w:rPr>
      </w:pPr>
    </w:p>
    <w:p w14:paraId="442C64D0" w14:textId="77777777" w:rsidR="006D2AB3" w:rsidRPr="002F5927" w:rsidRDefault="006D2AB3" w:rsidP="00861BA2">
      <w:pPr>
        <w:jc w:val="both"/>
        <w:outlineLvl w:val="0"/>
        <w:rPr>
          <w:rFonts w:ascii="Arial" w:hAnsi="Arial" w:cs="Arial"/>
        </w:rPr>
      </w:pPr>
    </w:p>
    <w:p w14:paraId="762461F1" w14:textId="77777777" w:rsidR="00621503" w:rsidRPr="002F5927" w:rsidRDefault="00621503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F5927">
        <w:br w:type="page"/>
      </w:r>
    </w:p>
    <w:p w14:paraId="6CCE4758" w14:textId="77777777" w:rsidR="00F626F9" w:rsidRPr="002F5927" w:rsidRDefault="00BA5768">
      <w:pPr>
        <w:pStyle w:val="Titre1"/>
      </w:pPr>
      <w:r>
        <w:lastRenderedPageBreak/>
        <w:t>I</w:t>
      </w:r>
      <w:r w:rsidR="001E6A48" w:rsidRPr="002F5927">
        <w:t>V – Recherche</w:t>
      </w:r>
    </w:p>
    <w:p w14:paraId="4093F148" w14:textId="77777777" w:rsidR="001E6A48" w:rsidRPr="002F5927" w:rsidRDefault="001E6A48" w:rsidP="001E6A48">
      <w:pPr>
        <w:jc w:val="both"/>
        <w:outlineLvl w:val="0"/>
        <w:rPr>
          <w:rFonts w:ascii="Arial" w:hAnsi="Arial" w:cs="Arial"/>
        </w:rPr>
      </w:pPr>
    </w:p>
    <w:p w14:paraId="069C29CE" w14:textId="77777777" w:rsidR="001E6A48" w:rsidRPr="002F5927" w:rsidRDefault="001E6A48" w:rsidP="001E6A48">
      <w:pPr>
        <w:jc w:val="both"/>
        <w:outlineLvl w:val="0"/>
        <w:rPr>
          <w:rFonts w:ascii="Arial" w:hAnsi="Arial" w:cs="Arial"/>
        </w:rPr>
      </w:pPr>
    </w:p>
    <w:p w14:paraId="2FFC84BA" w14:textId="77777777" w:rsidR="001E6A48" w:rsidRPr="002F5927" w:rsidRDefault="001E6A48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Décrire les équipes de recherche impliquées dans la gestion du fonds (organisation, expérience et missions)</w:t>
      </w:r>
      <w:r w:rsidR="001A1E09" w:rsidRPr="002F5927">
        <w:rPr>
          <w:rFonts w:ascii="Arial" w:hAnsi="Arial" w:cs="Arial"/>
        </w:rPr>
        <w:t>.</w:t>
      </w:r>
      <w:r w:rsidR="00553992" w:rsidRPr="002F5927">
        <w:rPr>
          <w:rFonts w:ascii="Arial" w:hAnsi="Arial" w:cs="Arial"/>
        </w:rPr>
        <w:t xml:space="preserve"> </w:t>
      </w:r>
      <w:r w:rsidR="001A1E09" w:rsidRPr="002F5927">
        <w:rPr>
          <w:rFonts w:ascii="Arial" w:hAnsi="Arial" w:cs="Arial"/>
        </w:rPr>
        <w:t>F</w:t>
      </w:r>
      <w:r w:rsidR="00553992" w:rsidRPr="002F5927">
        <w:rPr>
          <w:rFonts w:ascii="Arial" w:hAnsi="Arial" w:cs="Arial"/>
        </w:rPr>
        <w:t>ournir les CV des responsables de</w:t>
      </w:r>
      <w:r w:rsidR="00621503" w:rsidRPr="002F5927">
        <w:rPr>
          <w:rFonts w:ascii="Arial" w:hAnsi="Arial" w:cs="Arial"/>
        </w:rPr>
        <w:t xml:space="preserve">s </w:t>
      </w:r>
      <w:r w:rsidR="00553992" w:rsidRPr="002F5927">
        <w:rPr>
          <w:rFonts w:ascii="Arial" w:hAnsi="Arial" w:cs="Arial"/>
        </w:rPr>
        <w:t>équipe</w:t>
      </w:r>
      <w:r w:rsidR="00621503" w:rsidRPr="002F5927">
        <w:rPr>
          <w:rFonts w:ascii="Arial" w:hAnsi="Arial" w:cs="Arial"/>
        </w:rPr>
        <w:t xml:space="preserve">s </w:t>
      </w:r>
      <w:r w:rsidR="00553992" w:rsidRPr="002F5927">
        <w:rPr>
          <w:rFonts w:ascii="Arial" w:hAnsi="Arial" w:cs="Arial"/>
        </w:rPr>
        <w:t>de recherche</w:t>
      </w:r>
      <w:r w:rsidR="001A1E09" w:rsidRPr="002F5927">
        <w:rPr>
          <w:rFonts w:ascii="Arial" w:hAnsi="Arial" w:cs="Arial"/>
        </w:rPr>
        <w:t xml:space="preserve"> et </w:t>
      </w:r>
      <w:r w:rsidR="00621503" w:rsidRPr="002F5927">
        <w:rPr>
          <w:rFonts w:ascii="Arial" w:hAnsi="Arial" w:cs="Arial"/>
        </w:rPr>
        <w:t>d’analyse</w:t>
      </w:r>
      <w:r w:rsidR="001A1E09" w:rsidRPr="002F5927">
        <w:rPr>
          <w:rFonts w:ascii="Arial" w:hAnsi="Arial" w:cs="Arial"/>
        </w:rPr>
        <w:t xml:space="preserve"> concernés</w:t>
      </w:r>
      <w:r w:rsidR="00553992" w:rsidRPr="002F5927">
        <w:rPr>
          <w:rFonts w:ascii="Arial" w:hAnsi="Arial" w:cs="Arial"/>
        </w:rPr>
        <w:t xml:space="preserve">. </w:t>
      </w:r>
    </w:p>
    <w:p w14:paraId="057C9297" w14:textId="77777777" w:rsidR="009F54E4" w:rsidRDefault="009F54E4" w:rsidP="00762C56">
      <w:pPr>
        <w:jc w:val="both"/>
        <w:outlineLvl w:val="0"/>
        <w:rPr>
          <w:rFonts w:ascii="Arial" w:hAnsi="Arial" w:cs="Arial"/>
        </w:rPr>
      </w:pPr>
    </w:p>
    <w:p w14:paraId="1710551E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689E2475" w14:textId="77777777" w:rsidR="00762C56" w:rsidRDefault="001E6A48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Décrire le processus de recherche attaché au fonds</w:t>
      </w:r>
      <w:r w:rsidR="00FD03C1">
        <w:rPr>
          <w:rFonts w:ascii="Arial" w:hAnsi="Arial" w:cs="Arial"/>
        </w:rPr>
        <w:t xml:space="preserve"> </w:t>
      </w:r>
      <w:r w:rsidR="00621503" w:rsidRPr="002F5927">
        <w:rPr>
          <w:rFonts w:ascii="Arial" w:hAnsi="Arial" w:cs="Arial"/>
        </w:rPr>
        <w:t>(</w:t>
      </w:r>
      <w:r w:rsidR="00553992" w:rsidRPr="002F5927">
        <w:rPr>
          <w:rFonts w:ascii="Arial" w:hAnsi="Arial" w:cs="Arial"/>
        </w:rPr>
        <w:t>critères d’évaluation des pays, secteurs, titres, méthodes d’analyse mises en œuvre, outils</w:t>
      </w:r>
      <w:r w:rsidR="00621503" w:rsidRPr="002F5927">
        <w:rPr>
          <w:rFonts w:ascii="Arial" w:hAnsi="Arial" w:cs="Arial"/>
        </w:rPr>
        <w:t>…)</w:t>
      </w:r>
      <w:r w:rsidR="0040331C">
        <w:rPr>
          <w:rFonts w:ascii="Arial" w:hAnsi="Arial" w:cs="Arial"/>
        </w:rPr>
        <w:t>.</w:t>
      </w:r>
    </w:p>
    <w:p w14:paraId="15E97E10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3995F252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487E0AB5" w14:textId="23463066" w:rsidR="007D50F5" w:rsidRPr="00762C56" w:rsidRDefault="001E6A48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t>Préciser les sources et les outils de recherche utilisés (internes, externes).</w:t>
      </w:r>
      <w:r w:rsidR="007D50F5" w:rsidRPr="00762C56">
        <w:rPr>
          <w:rFonts w:ascii="Arial" w:hAnsi="Arial" w:cs="Arial"/>
        </w:rPr>
        <w:t xml:space="preserve"> Capacité de recherche en interne ? Univers couvert par la recherche interne ? </w:t>
      </w:r>
      <w:r w:rsidR="0071076A">
        <w:rPr>
          <w:rFonts w:ascii="Arial" w:hAnsi="Arial" w:cs="Arial"/>
        </w:rPr>
        <w:t xml:space="preserve">Appel à des consultants ? </w:t>
      </w:r>
    </w:p>
    <w:p w14:paraId="266D9035" w14:textId="77777777" w:rsidR="009F54E4" w:rsidRDefault="009F54E4" w:rsidP="00762C56">
      <w:pPr>
        <w:jc w:val="both"/>
        <w:outlineLvl w:val="0"/>
        <w:rPr>
          <w:rFonts w:ascii="Arial" w:hAnsi="Arial" w:cs="Arial"/>
        </w:rPr>
      </w:pPr>
    </w:p>
    <w:p w14:paraId="5441FB8C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025C0FD7" w14:textId="77777777" w:rsidR="009F54E4" w:rsidRDefault="001E6A48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Détai</w:t>
      </w:r>
      <w:r w:rsidR="009F54E4" w:rsidRPr="002F5927">
        <w:rPr>
          <w:rFonts w:ascii="Arial" w:hAnsi="Arial" w:cs="Arial"/>
        </w:rPr>
        <w:t>l</w:t>
      </w:r>
      <w:r w:rsidRPr="002F5927">
        <w:rPr>
          <w:rFonts w:ascii="Arial" w:hAnsi="Arial" w:cs="Arial"/>
        </w:rPr>
        <w:t xml:space="preserve">ler les </w:t>
      </w:r>
      <w:r w:rsidR="0040331C" w:rsidRPr="002F5927">
        <w:rPr>
          <w:rFonts w:ascii="Arial" w:hAnsi="Arial" w:cs="Arial"/>
        </w:rPr>
        <w:t>int</w:t>
      </w:r>
      <w:r w:rsidR="0040331C">
        <w:rPr>
          <w:rFonts w:ascii="Arial" w:hAnsi="Arial" w:cs="Arial"/>
        </w:rPr>
        <w:t>e</w:t>
      </w:r>
      <w:r w:rsidR="0040331C" w:rsidRPr="002F5927">
        <w:rPr>
          <w:rFonts w:ascii="Arial" w:hAnsi="Arial" w:cs="Arial"/>
        </w:rPr>
        <w:t>ractions</w:t>
      </w:r>
      <w:r w:rsidRPr="002F5927">
        <w:rPr>
          <w:rFonts w:ascii="Arial" w:hAnsi="Arial" w:cs="Arial"/>
        </w:rPr>
        <w:t xml:space="preserve"> entre les équipes de recherche et l’équipe de gestion.</w:t>
      </w:r>
    </w:p>
    <w:p w14:paraId="20D866C0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28EA9DB5" w14:textId="77777777" w:rsidR="00762C56" w:rsidRP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4BB0FDF2" w14:textId="77777777" w:rsidR="00762C56" w:rsidRPr="002F5927" w:rsidRDefault="00762C56" w:rsidP="00E604CB">
      <w:pPr>
        <w:ind w:left="720"/>
        <w:jc w:val="both"/>
        <w:outlineLvl w:val="0"/>
        <w:rPr>
          <w:rFonts w:ascii="Arial" w:hAnsi="Arial" w:cs="Arial"/>
        </w:rPr>
      </w:pPr>
    </w:p>
    <w:p w14:paraId="600B1AE8" w14:textId="77777777" w:rsidR="001E6A48" w:rsidRPr="002F5927" w:rsidRDefault="001E6A48" w:rsidP="001E6A48">
      <w:pPr>
        <w:outlineLvl w:val="0"/>
        <w:rPr>
          <w:rFonts w:ascii="Arial" w:hAnsi="Arial" w:cs="Arial"/>
        </w:rPr>
      </w:pPr>
    </w:p>
    <w:p w14:paraId="25142900" w14:textId="77777777" w:rsidR="00385995" w:rsidRPr="002F5927" w:rsidRDefault="00385995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F5927">
        <w:br w:type="page"/>
      </w:r>
    </w:p>
    <w:p w14:paraId="11759C00" w14:textId="77777777" w:rsidR="00F626F9" w:rsidRPr="002F5927" w:rsidRDefault="001E6A48" w:rsidP="00F626F9">
      <w:pPr>
        <w:pStyle w:val="Titre1"/>
      </w:pPr>
      <w:r w:rsidRPr="002F5927">
        <w:lastRenderedPageBreak/>
        <w:t xml:space="preserve">V - </w:t>
      </w:r>
      <w:bookmarkStart w:id="0" w:name="_Toc260215936"/>
      <w:r w:rsidRPr="002F5927">
        <w:t>Processus d’investissement</w:t>
      </w:r>
      <w:r w:rsidR="00317319" w:rsidRPr="002F5927">
        <w:t xml:space="preserve"> et de construction de portefeuille</w:t>
      </w:r>
    </w:p>
    <w:p w14:paraId="67EE6BE9" w14:textId="77777777" w:rsidR="001A39F7" w:rsidRPr="002F5927" w:rsidRDefault="001A39F7" w:rsidP="002F5927">
      <w:pPr>
        <w:jc w:val="both"/>
        <w:outlineLvl w:val="0"/>
        <w:rPr>
          <w:rFonts w:ascii="Arial" w:hAnsi="Arial" w:cs="Arial"/>
        </w:rPr>
      </w:pPr>
    </w:p>
    <w:p w14:paraId="40AEC786" w14:textId="77777777" w:rsidR="001A39F7" w:rsidRPr="002F5927" w:rsidRDefault="001A39F7" w:rsidP="002F5927">
      <w:pPr>
        <w:jc w:val="both"/>
        <w:outlineLvl w:val="0"/>
        <w:rPr>
          <w:rFonts w:ascii="Arial" w:hAnsi="Arial" w:cs="Arial"/>
        </w:rPr>
      </w:pPr>
    </w:p>
    <w:p w14:paraId="0C293F84" w14:textId="77777777" w:rsidR="001A39F7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Présenter la philosophie, le style d’investissement et les sources de valeur ajoutée de la gestion du fonds.</w:t>
      </w:r>
    </w:p>
    <w:p w14:paraId="25766AA5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4AE5FE8D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7463536B" w14:textId="77777777" w:rsidR="00A07C40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Détailler l’objectif de gestion</w:t>
      </w:r>
      <w:r w:rsidR="00A07C40" w:rsidRPr="002F5927">
        <w:rPr>
          <w:rFonts w:ascii="Arial" w:hAnsi="Arial" w:cs="Arial"/>
        </w:rPr>
        <w:t xml:space="preserve"> du fonds. </w:t>
      </w:r>
    </w:p>
    <w:p w14:paraId="218414CD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631EC9B9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2F2DA276" w14:textId="0E9B49BC" w:rsidR="001A39F7" w:rsidRDefault="00A07C40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Indique</w:t>
      </w:r>
      <w:r w:rsidR="00E730CA">
        <w:rPr>
          <w:rFonts w:ascii="Arial" w:hAnsi="Arial" w:cs="Arial"/>
        </w:rPr>
        <w:t>r</w:t>
      </w:r>
      <w:r w:rsidRPr="002F5927">
        <w:rPr>
          <w:rFonts w:ascii="Arial" w:hAnsi="Arial" w:cs="Arial"/>
        </w:rPr>
        <w:t xml:space="preserve"> le cadre de gesti</w:t>
      </w:r>
      <w:r w:rsidR="00762C56">
        <w:rPr>
          <w:rFonts w:ascii="Arial" w:hAnsi="Arial" w:cs="Arial"/>
        </w:rPr>
        <w:t>on et de risque du portefeuille.</w:t>
      </w:r>
    </w:p>
    <w:p w14:paraId="04BE640F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1711491A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0D2E2006" w14:textId="77777777" w:rsidR="001A39F7" w:rsidRPr="002F5927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Préciser l’univers d’investissement du fonds ainsi que les instruments utilisés, notamment les cas d’utilisation des dérivés (utilisation effet levier si applicable).</w:t>
      </w:r>
    </w:p>
    <w:p w14:paraId="3D8F34C9" w14:textId="77777777" w:rsidR="006D624C" w:rsidRDefault="006D624C" w:rsidP="00762C56">
      <w:pPr>
        <w:jc w:val="both"/>
        <w:outlineLvl w:val="0"/>
        <w:rPr>
          <w:rFonts w:ascii="Arial" w:hAnsi="Arial" w:cs="Arial"/>
        </w:rPr>
      </w:pPr>
    </w:p>
    <w:p w14:paraId="39E8DC1C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3550F6E3" w14:textId="77777777" w:rsidR="001A39F7" w:rsidRPr="002F5927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Décrire le processus d’investissement et expliciter la construction du portefeuille. Selon le processus d’investissement du fonds, merci d’expliciter, si applicable :</w:t>
      </w:r>
    </w:p>
    <w:p w14:paraId="7E1C3EB3" w14:textId="77777777" w:rsidR="000C78FB" w:rsidRPr="002F5927" w:rsidRDefault="000C78FB" w:rsidP="002F5927">
      <w:pPr>
        <w:ind w:left="720"/>
        <w:jc w:val="both"/>
        <w:outlineLvl w:val="0"/>
        <w:rPr>
          <w:rFonts w:ascii="Arial" w:hAnsi="Arial" w:cs="Arial"/>
        </w:rPr>
      </w:pPr>
    </w:p>
    <w:p w14:paraId="1C9E49DF" w14:textId="77777777" w:rsidR="001A39F7" w:rsidRPr="002F5927" w:rsidRDefault="000C78FB" w:rsidP="001A39F7">
      <w:pPr>
        <w:numPr>
          <w:ilvl w:val="1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Prise de décision :</w:t>
      </w:r>
    </w:p>
    <w:p w14:paraId="7F84B8C3" w14:textId="2BA301C9" w:rsidR="000C78FB" w:rsidRPr="002F5927" w:rsidRDefault="00971EFB" w:rsidP="000C78FB">
      <w:pPr>
        <w:pStyle w:val="Paragraphedeliste"/>
        <w:numPr>
          <w:ilvl w:val="2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Éventuels</w:t>
      </w:r>
      <w:r w:rsidR="000C78FB" w:rsidRPr="002F5927">
        <w:rPr>
          <w:rFonts w:ascii="Arial" w:hAnsi="Arial" w:cs="Arial"/>
        </w:rPr>
        <w:t xml:space="preserve"> comités d’investissement</w:t>
      </w:r>
    </w:p>
    <w:p w14:paraId="21B11F5B" w14:textId="77777777" w:rsidR="000F5501" w:rsidRPr="002F5927" w:rsidRDefault="000F5501" w:rsidP="000C78FB">
      <w:pPr>
        <w:pStyle w:val="Paragraphedeliste"/>
        <w:numPr>
          <w:ilvl w:val="2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Rôle et responsabilité des analystes</w:t>
      </w:r>
    </w:p>
    <w:p w14:paraId="230CAC1E" w14:textId="77777777" w:rsidR="000F5501" w:rsidRPr="002F5927" w:rsidRDefault="000F5501" w:rsidP="002F5927">
      <w:pPr>
        <w:pStyle w:val="Paragraphedeliste"/>
        <w:numPr>
          <w:ilvl w:val="2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 xml:space="preserve">Rôle, </w:t>
      </w:r>
      <w:r w:rsidR="000C78FB" w:rsidRPr="002F5927">
        <w:rPr>
          <w:rFonts w:ascii="Arial" w:hAnsi="Arial" w:cs="Arial"/>
        </w:rPr>
        <w:t>responsabi</w:t>
      </w:r>
      <w:r w:rsidRPr="002F5927">
        <w:rPr>
          <w:rFonts w:ascii="Arial" w:hAnsi="Arial" w:cs="Arial"/>
        </w:rPr>
        <w:t xml:space="preserve">lité et </w:t>
      </w:r>
      <w:r w:rsidR="000C78FB" w:rsidRPr="002F5927">
        <w:rPr>
          <w:rFonts w:ascii="Arial" w:hAnsi="Arial" w:cs="Arial"/>
        </w:rPr>
        <w:t>autonomie du gérant</w:t>
      </w:r>
    </w:p>
    <w:p w14:paraId="3833CE5F" w14:textId="77777777" w:rsidR="001A39F7" w:rsidRPr="002F5927" w:rsidRDefault="001A39F7" w:rsidP="001A39F7">
      <w:pPr>
        <w:numPr>
          <w:ilvl w:val="1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 xml:space="preserve">Discipline d’achat / vente (ex : « stop </w:t>
      </w:r>
      <w:proofErr w:type="spellStart"/>
      <w:r w:rsidRPr="002F5927">
        <w:rPr>
          <w:rFonts w:ascii="Arial" w:hAnsi="Arial" w:cs="Arial"/>
        </w:rPr>
        <w:t>loss</w:t>
      </w:r>
      <w:proofErr w:type="spellEnd"/>
      <w:r w:rsidRPr="002F5927">
        <w:rPr>
          <w:rFonts w:ascii="Arial" w:hAnsi="Arial" w:cs="Arial"/>
        </w:rPr>
        <w:t>»)</w:t>
      </w:r>
    </w:p>
    <w:p w14:paraId="3680D353" w14:textId="77777777" w:rsidR="000C78FB" w:rsidRPr="002F5927" w:rsidRDefault="001A39F7" w:rsidP="000C78FB">
      <w:pPr>
        <w:numPr>
          <w:ilvl w:val="1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Politique de change / couverture.</w:t>
      </w:r>
    </w:p>
    <w:p w14:paraId="0737F591" w14:textId="77777777" w:rsidR="001A39F7" w:rsidRPr="002F5927" w:rsidRDefault="001A39F7" w:rsidP="001A39F7">
      <w:pPr>
        <w:numPr>
          <w:ilvl w:val="1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Méthodologie ISR et prise en compte des enjeux ESG.</w:t>
      </w:r>
    </w:p>
    <w:p w14:paraId="08D46A0F" w14:textId="77777777" w:rsidR="006D624C" w:rsidRPr="002F5927" w:rsidRDefault="006D624C" w:rsidP="002F5927">
      <w:pPr>
        <w:ind w:left="720"/>
        <w:jc w:val="both"/>
        <w:outlineLvl w:val="0"/>
        <w:rPr>
          <w:rFonts w:ascii="Arial" w:hAnsi="Arial" w:cs="Arial"/>
        </w:rPr>
      </w:pPr>
    </w:p>
    <w:p w14:paraId="57F585A2" w14:textId="77777777" w:rsidR="001B4A4E" w:rsidRPr="002F5927" w:rsidRDefault="001B4A4E" w:rsidP="002F5927">
      <w:pPr>
        <w:jc w:val="both"/>
        <w:outlineLvl w:val="0"/>
        <w:rPr>
          <w:rFonts w:ascii="Arial" w:hAnsi="Arial" w:cs="Arial"/>
        </w:rPr>
      </w:pPr>
    </w:p>
    <w:p w14:paraId="01147CEF" w14:textId="27884C32" w:rsidR="001A39F7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Indiquer les outils et modèles de gestion utilisés.</w:t>
      </w:r>
      <w:r w:rsidR="00971EFB">
        <w:rPr>
          <w:rFonts w:ascii="Arial" w:hAnsi="Arial" w:cs="Arial"/>
        </w:rPr>
        <w:t xml:space="preserve"> </w:t>
      </w:r>
      <w:r w:rsidR="0071076A">
        <w:rPr>
          <w:rFonts w:ascii="Arial" w:hAnsi="Arial" w:cs="Arial"/>
        </w:rPr>
        <w:t xml:space="preserve">Préciser notamment ce qui relève de l’interne et de l’externe, quels sont les utilisateurs et l’utilisation qui en est faite (systématique / occasionnelle).  </w:t>
      </w:r>
    </w:p>
    <w:p w14:paraId="0A099194" w14:textId="77777777" w:rsidR="00762C56" w:rsidRP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2C228973" w14:textId="77777777" w:rsidR="00762C56" w:rsidRP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43FFC5F9" w14:textId="77777777" w:rsidR="000314E6" w:rsidRPr="00762C56" w:rsidRDefault="000314E6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t>Outils d’analyse du portefeuille et de la performance</w:t>
      </w:r>
      <w:r w:rsidR="00762C56" w:rsidRPr="00762C56">
        <w:rPr>
          <w:rFonts w:ascii="Arial" w:hAnsi="Arial" w:cs="Arial"/>
        </w:rPr>
        <w:t>.</w:t>
      </w:r>
    </w:p>
    <w:p w14:paraId="465AC4B3" w14:textId="77777777" w:rsidR="000314E6" w:rsidRPr="00762C56" w:rsidRDefault="000314E6" w:rsidP="00762C56">
      <w:pPr>
        <w:jc w:val="both"/>
        <w:outlineLvl w:val="0"/>
        <w:rPr>
          <w:rFonts w:ascii="Arial" w:hAnsi="Arial" w:cs="Arial"/>
        </w:rPr>
      </w:pPr>
    </w:p>
    <w:p w14:paraId="2338E417" w14:textId="77777777" w:rsidR="00762C56" w:rsidRP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589310C2" w14:textId="00073087" w:rsidR="001A39F7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t xml:space="preserve">Décrire </w:t>
      </w:r>
      <w:r w:rsidR="00E730CA">
        <w:rPr>
          <w:rFonts w:ascii="Arial" w:hAnsi="Arial" w:cs="Arial"/>
        </w:rPr>
        <w:t>la</w:t>
      </w:r>
      <w:r w:rsidRPr="00762C56">
        <w:rPr>
          <w:rFonts w:ascii="Arial" w:hAnsi="Arial" w:cs="Arial"/>
        </w:rPr>
        <w:t xml:space="preserve"> politique de gestion</w:t>
      </w:r>
      <w:r w:rsidRPr="002F5927">
        <w:rPr>
          <w:rFonts w:ascii="Arial" w:hAnsi="Arial" w:cs="Arial"/>
        </w:rPr>
        <w:t xml:space="preserve"> des liquidités.</w:t>
      </w:r>
    </w:p>
    <w:p w14:paraId="1CF6CA7B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42C288A8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3C0162CF" w14:textId="57C09BA9" w:rsidR="00873248" w:rsidRDefault="00873248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Utilisation de prêts/emprunts de titres, prise/mise en pension : ces types d’opérations sont-ils utilisés ?</w:t>
      </w:r>
      <w:r w:rsidR="00971EFB">
        <w:rPr>
          <w:rFonts w:ascii="Arial" w:hAnsi="Arial" w:cs="Arial"/>
        </w:rPr>
        <w:t xml:space="preserve"> </w:t>
      </w:r>
      <w:r w:rsidR="004069EB">
        <w:rPr>
          <w:rFonts w:ascii="Arial" w:hAnsi="Arial" w:cs="Arial"/>
        </w:rPr>
        <w:t xml:space="preserve">Si oui, quelles sont les modalités de gestion du collatéral </w:t>
      </w:r>
      <w:r w:rsidR="00C507EC">
        <w:rPr>
          <w:rFonts w:ascii="Arial" w:hAnsi="Arial" w:cs="Arial"/>
        </w:rPr>
        <w:t>et l’apport</w:t>
      </w:r>
      <w:r w:rsidR="009805F2">
        <w:rPr>
          <w:rFonts w:ascii="Arial" w:hAnsi="Arial" w:cs="Arial"/>
        </w:rPr>
        <w:t xml:space="preserve"> financier pour le fonds</w:t>
      </w:r>
      <w:r w:rsidR="004069EB">
        <w:rPr>
          <w:rFonts w:ascii="Arial" w:hAnsi="Arial" w:cs="Arial"/>
        </w:rPr>
        <w:t xml:space="preserve"> ? </w:t>
      </w:r>
    </w:p>
    <w:p w14:paraId="1C386782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3AE7A491" w14:textId="77777777" w:rsidR="000314E6" w:rsidRPr="002F5927" w:rsidRDefault="000314E6" w:rsidP="00762C56">
      <w:pPr>
        <w:ind w:left="851"/>
        <w:jc w:val="both"/>
        <w:outlineLvl w:val="0"/>
        <w:rPr>
          <w:rFonts w:ascii="Arial" w:hAnsi="Arial" w:cs="Arial"/>
        </w:rPr>
      </w:pPr>
    </w:p>
    <w:p w14:paraId="63A12D4F" w14:textId="77777777" w:rsidR="001A39F7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Préciser les éventuelles modifications significatives intervenues au cours des dernières années</w:t>
      </w:r>
      <w:r w:rsidR="006D624C" w:rsidRPr="002F5927">
        <w:rPr>
          <w:rFonts w:ascii="Arial" w:hAnsi="Arial" w:cs="Arial"/>
        </w:rPr>
        <w:t xml:space="preserve"> (changement d’indice, modification de la stratégie, du processus d’investissement, des règles d’investissements…)</w:t>
      </w:r>
      <w:r w:rsidR="0040331C">
        <w:rPr>
          <w:rFonts w:ascii="Arial" w:hAnsi="Arial" w:cs="Arial"/>
        </w:rPr>
        <w:t>.</w:t>
      </w:r>
    </w:p>
    <w:p w14:paraId="39541959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6A5D4984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17DA3328" w14:textId="49007315" w:rsidR="00762C56" w:rsidRDefault="001A39F7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Détailler les points forts et avantages concurr</w:t>
      </w:r>
      <w:r w:rsidR="002F5927">
        <w:rPr>
          <w:rFonts w:ascii="Arial" w:hAnsi="Arial" w:cs="Arial"/>
        </w:rPr>
        <w:t>entiels de la gestion du fond</w:t>
      </w:r>
      <w:r w:rsidR="00DB6286">
        <w:rPr>
          <w:rFonts w:ascii="Arial" w:hAnsi="Arial" w:cs="Arial"/>
        </w:rPr>
        <w:t>s</w:t>
      </w:r>
      <w:r w:rsidR="00762C56">
        <w:rPr>
          <w:rFonts w:ascii="Arial" w:hAnsi="Arial" w:cs="Arial"/>
        </w:rPr>
        <w:t>.</w:t>
      </w:r>
      <w:bookmarkEnd w:id="0"/>
    </w:p>
    <w:p w14:paraId="28E95615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1A982139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593F4705" w14:textId="77777777" w:rsidR="00762C56" w:rsidRPr="00762C56" w:rsidRDefault="00FA321E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lastRenderedPageBreak/>
        <w:t xml:space="preserve">Préciser les configurations de marché qui seraient favorables/défavorables au style de gestion, c’est-à-dire durant lesquelles le fonds serait amené à </w:t>
      </w:r>
      <w:proofErr w:type="spellStart"/>
      <w:r w:rsidRPr="00762C56">
        <w:rPr>
          <w:rFonts w:ascii="Arial" w:hAnsi="Arial" w:cs="Arial"/>
        </w:rPr>
        <w:t>sur</w:t>
      </w:r>
      <w:proofErr w:type="spellEnd"/>
      <w:r w:rsidRPr="00762C56">
        <w:rPr>
          <w:rFonts w:ascii="Arial" w:hAnsi="Arial" w:cs="Arial"/>
        </w:rPr>
        <w:t xml:space="preserve">/sous performer l’indice de référence. </w:t>
      </w:r>
    </w:p>
    <w:p w14:paraId="6B94774F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39B21280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7F7C9BA0" w14:textId="61281C45" w:rsidR="000C78FB" w:rsidRPr="00762C56" w:rsidRDefault="00C90CF4" w:rsidP="00762C56">
      <w:pPr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</w:rPr>
      </w:pPr>
      <w:r w:rsidRPr="00762C56">
        <w:rPr>
          <w:rFonts w:ascii="Arial" w:hAnsi="Arial" w:cs="Arial"/>
        </w:rPr>
        <w:t>Expliquer le mode retenu de prise de décisions : le rôle, la responsabilité et l’autonomie du gérant, d’éventuels comités d’investissement au sein de la SGP</w:t>
      </w:r>
      <w:r w:rsidR="00DB6286">
        <w:rPr>
          <w:rFonts w:ascii="Arial" w:hAnsi="Arial" w:cs="Arial"/>
        </w:rPr>
        <w:t xml:space="preserve"> </w:t>
      </w:r>
      <w:r w:rsidRPr="00762C56">
        <w:rPr>
          <w:rFonts w:ascii="Arial" w:hAnsi="Arial" w:cs="Arial"/>
        </w:rPr>
        <w:t>? Quelles sont les décisions revenant aux gérants ? Celle</w:t>
      </w:r>
      <w:r w:rsidR="00E730CA">
        <w:rPr>
          <w:rFonts w:ascii="Arial" w:hAnsi="Arial" w:cs="Arial"/>
        </w:rPr>
        <w:t>s</w:t>
      </w:r>
      <w:r w:rsidRPr="00762C56">
        <w:rPr>
          <w:rFonts w:ascii="Arial" w:hAnsi="Arial" w:cs="Arial"/>
        </w:rPr>
        <w:t xml:space="preserve"> revenant aux analystes ? Au CIO ou un autre niveau ? </w:t>
      </w:r>
    </w:p>
    <w:p w14:paraId="6A6B553D" w14:textId="77777777" w:rsidR="00C90CF4" w:rsidRDefault="00C90CF4" w:rsidP="00762C56">
      <w:pPr>
        <w:tabs>
          <w:tab w:val="left" w:pos="1557"/>
        </w:tabs>
        <w:jc w:val="both"/>
        <w:outlineLvl w:val="0"/>
        <w:rPr>
          <w:rFonts w:ascii="Arial" w:hAnsi="Arial" w:cs="Arial"/>
        </w:rPr>
      </w:pPr>
    </w:p>
    <w:p w14:paraId="32B1F8C7" w14:textId="77777777" w:rsidR="00BA5768" w:rsidRDefault="00BA5768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0A1A82E" w14:textId="77777777" w:rsidR="00F626F9" w:rsidRPr="002F5927" w:rsidRDefault="004E1213" w:rsidP="00F626F9">
      <w:pPr>
        <w:pStyle w:val="Titre1"/>
      </w:pPr>
      <w:r w:rsidRPr="002F5927">
        <w:lastRenderedPageBreak/>
        <w:t>V</w:t>
      </w:r>
      <w:r w:rsidR="001E6A48" w:rsidRPr="002F5927">
        <w:t>I - Exécution des ordres</w:t>
      </w:r>
    </w:p>
    <w:p w14:paraId="04BDEE44" w14:textId="77777777" w:rsidR="001E6A48" w:rsidRPr="002F5927" w:rsidRDefault="001E6A48" w:rsidP="001E6A48">
      <w:pPr>
        <w:outlineLvl w:val="0"/>
        <w:rPr>
          <w:rFonts w:ascii="Arial" w:hAnsi="Arial" w:cs="Arial"/>
          <w:b/>
          <w:bCs/>
        </w:rPr>
      </w:pPr>
    </w:p>
    <w:p w14:paraId="056A5C6E" w14:textId="77777777" w:rsidR="00762C56" w:rsidRDefault="000314E6" w:rsidP="00762C56">
      <w:pPr>
        <w:pStyle w:val="Paragraphedeliste"/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>Décrire l’organisation et les systèmes de transmission des ordres et de négociation spécifique à ce fonds</w:t>
      </w:r>
      <w:r w:rsidR="004C0B55">
        <w:rPr>
          <w:rFonts w:ascii="Arial" w:hAnsi="Arial" w:cs="Arial"/>
        </w:rPr>
        <w:t xml:space="preserve"> </w:t>
      </w:r>
      <w:r w:rsidRPr="002F5927">
        <w:rPr>
          <w:rFonts w:ascii="Arial" w:hAnsi="Arial" w:cs="Arial"/>
        </w:rPr>
        <w:t>(schéma commenté avec les outils, les activités, les équipes, la description du contenu des flux).</w:t>
      </w:r>
    </w:p>
    <w:p w14:paraId="5C68A480" w14:textId="77777777" w:rsidR="00762C56" w:rsidRDefault="00762C56" w:rsidP="00762C56">
      <w:pPr>
        <w:jc w:val="both"/>
        <w:rPr>
          <w:rFonts w:ascii="Arial" w:hAnsi="Arial" w:cs="Arial"/>
        </w:rPr>
      </w:pPr>
    </w:p>
    <w:p w14:paraId="357BB9B6" w14:textId="77777777" w:rsidR="00762C56" w:rsidRPr="00762C56" w:rsidRDefault="00762C56" w:rsidP="00762C56">
      <w:pPr>
        <w:jc w:val="both"/>
        <w:rPr>
          <w:rFonts w:ascii="Arial" w:hAnsi="Arial" w:cs="Arial"/>
        </w:rPr>
      </w:pPr>
    </w:p>
    <w:p w14:paraId="66905494" w14:textId="1F27A377" w:rsidR="000314E6" w:rsidRPr="00762C56" w:rsidRDefault="000314E6" w:rsidP="00762C56">
      <w:pPr>
        <w:pStyle w:val="Paragraphedeliste"/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762C56">
        <w:rPr>
          <w:rFonts w:ascii="Arial" w:hAnsi="Arial" w:cs="Arial"/>
        </w:rPr>
        <w:t>Préciser la politique mise en œuvre pour assurer la meilleure exécution des ord</w:t>
      </w:r>
      <w:r w:rsidR="00DB6286">
        <w:rPr>
          <w:rFonts w:ascii="Arial" w:hAnsi="Arial" w:cs="Arial"/>
        </w:rPr>
        <w:t xml:space="preserve">res et l’égalité de traitement </w:t>
      </w:r>
      <w:r w:rsidRPr="00762C56">
        <w:rPr>
          <w:rFonts w:ascii="Arial" w:hAnsi="Arial" w:cs="Arial"/>
        </w:rPr>
        <w:t xml:space="preserve">entre les investisseurs dans l’allocation des ordres. </w:t>
      </w:r>
    </w:p>
    <w:p w14:paraId="4A09AD52" w14:textId="77777777" w:rsidR="000314E6" w:rsidRDefault="000314E6" w:rsidP="001E6A48">
      <w:pPr>
        <w:outlineLvl w:val="0"/>
        <w:rPr>
          <w:rFonts w:ascii="Arial" w:hAnsi="Arial" w:cs="Arial"/>
          <w:b/>
          <w:bCs/>
        </w:rPr>
      </w:pPr>
    </w:p>
    <w:p w14:paraId="704B10C8" w14:textId="77777777" w:rsidR="00762C56" w:rsidRPr="002F5927" w:rsidRDefault="00762C56" w:rsidP="001E6A48">
      <w:pPr>
        <w:outlineLvl w:val="0"/>
        <w:rPr>
          <w:rFonts w:ascii="Arial" w:hAnsi="Arial" w:cs="Arial"/>
          <w:b/>
          <w:bCs/>
        </w:rPr>
      </w:pPr>
    </w:p>
    <w:p w14:paraId="0ACFBB60" w14:textId="77777777" w:rsidR="001E6A48" w:rsidRPr="002F5927" w:rsidRDefault="00A43059" w:rsidP="001E6A48">
      <w:pPr>
        <w:rPr>
          <w:rFonts w:ascii="Arial" w:hAnsi="Arial" w:cs="Arial"/>
          <w:b/>
          <w:bCs/>
          <w:sz w:val="28"/>
          <w:szCs w:val="28"/>
        </w:rPr>
      </w:pPr>
      <w:r w:rsidRPr="002F5927">
        <w:rPr>
          <w:rFonts w:ascii="Arial" w:hAnsi="Arial" w:cs="Arial"/>
          <w:b/>
          <w:bCs/>
          <w:sz w:val="28"/>
          <w:szCs w:val="28"/>
        </w:rPr>
        <w:br w:type="page"/>
      </w:r>
    </w:p>
    <w:p w14:paraId="5E5408F2" w14:textId="77777777" w:rsidR="00F626F9" w:rsidRPr="002F5927" w:rsidRDefault="00A43059" w:rsidP="00F626F9">
      <w:pPr>
        <w:pStyle w:val="Titre1"/>
      </w:pPr>
      <w:r w:rsidRPr="002F5927">
        <w:lastRenderedPageBreak/>
        <w:t>VI</w:t>
      </w:r>
      <w:r w:rsidR="00347168" w:rsidRPr="002F5927">
        <w:t>I</w:t>
      </w:r>
      <w:r w:rsidRPr="002F5927">
        <w:t xml:space="preserve"> -</w:t>
      </w:r>
      <w:r w:rsidR="001E6A48" w:rsidRPr="002F5927">
        <w:t xml:space="preserve"> Gestion et contrôle des risques </w:t>
      </w:r>
    </w:p>
    <w:p w14:paraId="58E81929" w14:textId="77777777" w:rsidR="001E6A48" w:rsidRPr="002F5927" w:rsidRDefault="001E6A48" w:rsidP="001E6A48">
      <w:pPr>
        <w:outlineLvl w:val="0"/>
        <w:rPr>
          <w:rFonts w:ascii="Arial" w:hAnsi="Arial" w:cs="Arial"/>
          <w:bCs/>
        </w:rPr>
      </w:pPr>
    </w:p>
    <w:p w14:paraId="5B1A0D4A" w14:textId="77777777" w:rsidR="001A6A5A" w:rsidRPr="002F5927" w:rsidRDefault="001A6A5A" w:rsidP="001E6A48">
      <w:pPr>
        <w:outlineLvl w:val="0"/>
        <w:rPr>
          <w:rFonts w:ascii="Arial" w:hAnsi="Arial" w:cs="Arial"/>
          <w:bCs/>
        </w:rPr>
      </w:pPr>
    </w:p>
    <w:p w14:paraId="117CB018" w14:textId="77777777" w:rsidR="001A6A5A" w:rsidRPr="002F5927" w:rsidRDefault="001A6A5A" w:rsidP="001A6A5A">
      <w:pPr>
        <w:ind w:firstLine="360"/>
        <w:jc w:val="both"/>
        <w:rPr>
          <w:rFonts w:ascii="Arial" w:hAnsi="Arial" w:cs="Arial"/>
          <w:u w:val="single"/>
        </w:rPr>
      </w:pPr>
      <w:r w:rsidRPr="002F5927">
        <w:rPr>
          <w:rFonts w:ascii="Arial" w:hAnsi="Arial" w:cs="Arial"/>
          <w:u w:val="single"/>
        </w:rPr>
        <w:t>Suivi des contraintes d’investissement</w:t>
      </w:r>
    </w:p>
    <w:p w14:paraId="777C44E2" w14:textId="77777777" w:rsidR="001A6A5A" w:rsidRPr="002F5927" w:rsidRDefault="001A6A5A" w:rsidP="001A6A5A">
      <w:pPr>
        <w:ind w:firstLine="360"/>
        <w:jc w:val="both"/>
        <w:rPr>
          <w:rFonts w:ascii="Arial" w:hAnsi="Arial" w:cs="Arial"/>
        </w:rPr>
      </w:pPr>
    </w:p>
    <w:p w14:paraId="756B8CD5" w14:textId="1F9031CF" w:rsidR="001A6A5A" w:rsidRDefault="001A6A5A" w:rsidP="00762C56">
      <w:pPr>
        <w:pStyle w:val="Paragraphedeliste"/>
        <w:numPr>
          <w:ilvl w:val="0"/>
          <w:numId w:val="30"/>
        </w:numPr>
        <w:ind w:left="851"/>
        <w:rPr>
          <w:rFonts w:ascii="Arial" w:hAnsi="Arial" w:cs="Arial"/>
        </w:rPr>
      </w:pPr>
      <w:r w:rsidRPr="002F5927">
        <w:rPr>
          <w:rFonts w:ascii="Arial" w:hAnsi="Arial" w:cs="Arial"/>
        </w:rPr>
        <w:t xml:space="preserve">Comment assurez-vous le respect du cadre de gestion en </w:t>
      </w:r>
      <w:proofErr w:type="spellStart"/>
      <w:r w:rsidRPr="002F5927">
        <w:rPr>
          <w:rFonts w:ascii="Arial" w:hAnsi="Arial" w:cs="Arial"/>
        </w:rPr>
        <w:t>pre-trade</w:t>
      </w:r>
      <w:proofErr w:type="spellEnd"/>
      <w:r w:rsidRPr="002F5927">
        <w:rPr>
          <w:rFonts w:ascii="Arial" w:hAnsi="Arial" w:cs="Arial"/>
        </w:rPr>
        <w:t xml:space="preserve"> et en post-</w:t>
      </w:r>
      <w:proofErr w:type="spellStart"/>
      <w:r w:rsidRPr="002F5927">
        <w:rPr>
          <w:rFonts w:ascii="Arial" w:hAnsi="Arial" w:cs="Arial"/>
        </w:rPr>
        <w:t>trade</w:t>
      </w:r>
      <w:proofErr w:type="spellEnd"/>
      <w:r w:rsidRPr="002F5927">
        <w:rPr>
          <w:rFonts w:ascii="Arial" w:hAnsi="Arial" w:cs="Arial"/>
        </w:rPr>
        <w:t xml:space="preserve"> (statuta</w:t>
      </w:r>
      <w:r w:rsidR="00DB6286">
        <w:rPr>
          <w:rFonts w:ascii="Arial" w:hAnsi="Arial" w:cs="Arial"/>
        </w:rPr>
        <w:t xml:space="preserve">ire, réglementaire, interne et </w:t>
      </w:r>
      <w:r w:rsidRPr="002F5927">
        <w:rPr>
          <w:rFonts w:ascii="Arial" w:hAnsi="Arial" w:cs="Arial"/>
        </w:rPr>
        <w:t>directives clients) ?</w:t>
      </w:r>
    </w:p>
    <w:p w14:paraId="3A06B599" w14:textId="77777777" w:rsidR="00762C56" w:rsidRDefault="00762C56" w:rsidP="00762C56">
      <w:pPr>
        <w:rPr>
          <w:rFonts w:ascii="Arial" w:hAnsi="Arial" w:cs="Arial"/>
        </w:rPr>
      </w:pPr>
    </w:p>
    <w:p w14:paraId="2E718FEA" w14:textId="77777777" w:rsidR="00762C56" w:rsidRPr="00762C56" w:rsidRDefault="00762C56" w:rsidP="00762C56">
      <w:pPr>
        <w:rPr>
          <w:rFonts w:ascii="Arial" w:hAnsi="Arial" w:cs="Arial"/>
        </w:rPr>
      </w:pPr>
    </w:p>
    <w:p w14:paraId="55AADBF9" w14:textId="1A7EB7DD" w:rsidR="001A6A5A" w:rsidRPr="002F5927" w:rsidRDefault="001A6A5A" w:rsidP="00762C56">
      <w:pPr>
        <w:pStyle w:val="Paragraphedeliste"/>
        <w:numPr>
          <w:ilvl w:val="0"/>
          <w:numId w:val="30"/>
        </w:numPr>
        <w:ind w:left="851"/>
        <w:rPr>
          <w:rFonts w:ascii="Arial" w:hAnsi="Arial" w:cs="Arial"/>
        </w:rPr>
      </w:pPr>
      <w:r w:rsidRPr="002F5927">
        <w:rPr>
          <w:rFonts w:ascii="Arial" w:hAnsi="Arial" w:cs="Arial"/>
        </w:rPr>
        <w:t>Présente</w:t>
      </w:r>
      <w:r w:rsidR="00E730CA">
        <w:rPr>
          <w:rFonts w:ascii="Arial" w:hAnsi="Arial" w:cs="Arial"/>
        </w:rPr>
        <w:t>r</w:t>
      </w:r>
      <w:r w:rsidRPr="002F5927">
        <w:rPr>
          <w:rFonts w:ascii="Arial" w:hAnsi="Arial" w:cs="Arial"/>
        </w:rPr>
        <w:t xml:space="preserve"> </w:t>
      </w:r>
      <w:r w:rsidR="00E730CA">
        <w:rPr>
          <w:rFonts w:ascii="Arial" w:hAnsi="Arial" w:cs="Arial"/>
        </w:rPr>
        <w:t>la</w:t>
      </w:r>
      <w:r w:rsidRPr="002F5927">
        <w:rPr>
          <w:rFonts w:ascii="Arial" w:hAnsi="Arial" w:cs="Arial"/>
        </w:rPr>
        <w:t xml:space="preserve"> procédure d’escalade</w:t>
      </w:r>
      <w:r w:rsidR="0040331C">
        <w:rPr>
          <w:rFonts w:ascii="Arial" w:hAnsi="Arial" w:cs="Arial"/>
        </w:rPr>
        <w:t>.</w:t>
      </w:r>
    </w:p>
    <w:p w14:paraId="16C5C2BD" w14:textId="77777777" w:rsidR="001A6A5A" w:rsidRDefault="001A6A5A" w:rsidP="00762C56">
      <w:pPr>
        <w:ind w:left="851"/>
        <w:jc w:val="both"/>
        <w:rPr>
          <w:rFonts w:ascii="Arial" w:hAnsi="Arial" w:cs="Arial"/>
        </w:rPr>
      </w:pPr>
    </w:p>
    <w:p w14:paraId="50EC06B6" w14:textId="77777777" w:rsidR="00971EFB" w:rsidRPr="002F5927" w:rsidRDefault="00971EFB" w:rsidP="00762C56">
      <w:pPr>
        <w:ind w:left="851"/>
        <w:jc w:val="both"/>
        <w:rPr>
          <w:rFonts w:ascii="Arial" w:hAnsi="Arial" w:cs="Arial"/>
        </w:rPr>
      </w:pPr>
    </w:p>
    <w:p w14:paraId="3BCC99FD" w14:textId="77777777" w:rsidR="001A6A5A" w:rsidRPr="002F5927" w:rsidRDefault="001A6A5A" w:rsidP="001A6A5A">
      <w:pPr>
        <w:ind w:firstLine="360"/>
        <w:jc w:val="both"/>
        <w:rPr>
          <w:rFonts w:ascii="Arial" w:hAnsi="Arial" w:cs="Arial"/>
          <w:u w:val="single"/>
        </w:rPr>
      </w:pPr>
      <w:r w:rsidRPr="002F5927">
        <w:rPr>
          <w:rFonts w:ascii="Arial" w:hAnsi="Arial" w:cs="Arial"/>
          <w:u w:val="single"/>
        </w:rPr>
        <w:t>Suivi des risques associés au fonds</w:t>
      </w:r>
    </w:p>
    <w:p w14:paraId="333C43C5" w14:textId="77777777" w:rsidR="001A6A5A" w:rsidRPr="002F5927" w:rsidRDefault="001A6A5A" w:rsidP="001A6A5A">
      <w:pPr>
        <w:ind w:firstLine="360"/>
        <w:jc w:val="both"/>
        <w:rPr>
          <w:rFonts w:ascii="Arial" w:hAnsi="Arial" w:cs="Arial"/>
          <w:u w:val="single"/>
        </w:rPr>
      </w:pPr>
    </w:p>
    <w:p w14:paraId="2A00B3A2" w14:textId="77777777" w:rsidR="001A6A5A" w:rsidRDefault="001A6A5A" w:rsidP="00762C56">
      <w:pPr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>Indiquer les principaux risques associés au fonds.</w:t>
      </w:r>
    </w:p>
    <w:p w14:paraId="77F82A3C" w14:textId="77777777" w:rsidR="00762C56" w:rsidRDefault="00762C56" w:rsidP="00762C56">
      <w:pPr>
        <w:jc w:val="both"/>
        <w:rPr>
          <w:rFonts w:ascii="Arial" w:hAnsi="Arial" w:cs="Arial"/>
        </w:rPr>
      </w:pPr>
    </w:p>
    <w:p w14:paraId="06793E94" w14:textId="77777777" w:rsidR="00762C56" w:rsidRPr="002F5927" w:rsidRDefault="00762C56" w:rsidP="00762C56">
      <w:pPr>
        <w:jc w:val="both"/>
        <w:rPr>
          <w:rFonts w:ascii="Arial" w:hAnsi="Arial" w:cs="Arial"/>
        </w:rPr>
      </w:pPr>
    </w:p>
    <w:p w14:paraId="74627420" w14:textId="77777777" w:rsidR="001A6A5A" w:rsidRPr="002F5927" w:rsidRDefault="001A6A5A" w:rsidP="00762C56">
      <w:pPr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>Préciser le suivi des risques (dont le risque de liquidité) et les indicateurs utilisés au niveau de :</w:t>
      </w:r>
    </w:p>
    <w:p w14:paraId="58A335C6" w14:textId="77777777" w:rsidR="00546756" w:rsidRDefault="001A6A5A" w:rsidP="00546756">
      <w:pPr>
        <w:numPr>
          <w:ilvl w:val="1"/>
          <w:numId w:val="14"/>
        </w:numPr>
        <w:jc w:val="both"/>
        <w:outlineLvl w:val="0"/>
        <w:rPr>
          <w:rFonts w:ascii="Arial" w:hAnsi="Arial" w:cs="Arial"/>
        </w:rPr>
      </w:pPr>
      <w:r w:rsidRPr="002F5927">
        <w:rPr>
          <w:rFonts w:ascii="Arial" w:hAnsi="Arial" w:cs="Arial"/>
        </w:rPr>
        <w:t>L’équipe de gestion ;</w:t>
      </w:r>
    </w:p>
    <w:p w14:paraId="42665DF5" w14:textId="582A2B85" w:rsidR="003807CA" w:rsidRPr="00546756" w:rsidRDefault="001A6A5A" w:rsidP="00296B39">
      <w:pPr>
        <w:pStyle w:val="Paragraphedeliste"/>
        <w:numPr>
          <w:ilvl w:val="1"/>
          <w:numId w:val="14"/>
        </w:numPr>
        <w:jc w:val="both"/>
        <w:outlineLvl w:val="0"/>
        <w:rPr>
          <w:rFonts w:ascii="Arial" w:hAnsi="Arial" w:cs="Arial"/>
        </w:rPr>
      </w:pPr>
      <w:r w:rsidRPr="00546756">
        <w:rPr>
          <w:rFonts w:ascii="Arial" w:hAnsi="Arial" w:cs="Arial"/>
        </w:rPr>
        <w:t>Le département des risques</w:t>
      </w:r>
    </w:p>
    <w:p w14:paraId="63D4F9EE" w14:textId="5AE7301B" w:rsidR="003807CA" w:rsidRPr="00546756" w:rsidRDefault="00546756" w:rsidP="00546756">
      <w:pPr>
        <w:numPr>
          <w:ilvl w:val="1"/>
          <w:numId w:val="14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807CA" w:rsidRPr="00546756">
        <w:rPr>
          <w:rFonts w:ascii="Arial" w:hAnsi="Arial" w:cs="Arial"/>
        </w:rPr>
        <w:t xml:space="preserve">iquidité du portefeuille : En combien de temps êtes-vous capable de liquider le portefeuille, </w:t>
      </w:r>
      <w:r w:rsidRPr="00546756">
        <w:rPr>
          <w:rFonts w:ascii="Arial" w:hAnsi="Arial" w:cs="Arial"/>
        </w:rPr>
        <w:t>en précisant la méthode :</w:t>
      </w:r>
    </w:p>
    <w:p w14:paraId="0EC07F43" w14:textId="77777777" w:rsidR="00546756" w:rsidRPr="00546756" w:rsidRDefault="00546756" w:rsidP="00546756">
      <w:pPr>
        <w:pStyle w:val="Paragraphedeliste"/>
        <w:rPr>
          <w:rFonts w:ascii="Arial" w:hAnsi="Arial" w:cs="Arial"/>
        </w:rPr>
      </w:pPr>
    </w:p>
    <w:p w14:paraId="366900CB" w14:textId="77777777" w:rsidR="00546756" w:rsidRPr="003807CA" w:rsidRDefault="00546756" w:rsidP="00546756">
      <w:pPr>
        <w:ind w:left="1440"/>
        <w:jc w:val="both"/>
        <w:outlineLvl w:val="0"/>
        <w:rPr>
          <w:rFonts w:eastAsia="Times New Roman" w:cs="Calibri"/>
          <w:color w:val="000000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44"/>
        <w:gridCol w:w="1126"/>
        <w:gridCol w:w="921"/>
        <w:gridCol w:w="1196"/>
        <w:gridCol w:w="751"/>
        <w:gridCol w:w="1404"/>
      </w:tblGrid>
      <w:tr w:rsidR="00546756" w14:paraId="077E4446" w14:textId="77777777" w:rsidTr="00546756"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DEB7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46756">
              <w:rPr>
                <w:rFonts w:ascii="Arial" w:hAnsi="Arial" w:cs="Arial"/>
                <w:color w:val="000000"/>
              </w:rPr>
              <w:t>% du portefeuille liquidable  en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01E5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46756">
              <w:rPr>
                <w:rFonts w:ascii="Arial" w:hAnsi="Arial" w:cs="Arial"/>
                <w:color w:val="000000"/>
              </w:rPr>
              <w:t xml:space="preserve">1 jour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B236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46756">
              <w:rPr>
                <w:rFonts w:ascii="Arial" w:hAnsi="Arial" w:cs="Arial"/>
                <w:color w:val="000000"/>
              </w:rPr>
              <w:t>3 jours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946D6B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C3EA" w14:textId="031B5B91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46756">
              <w:rPr>
                <w:rFonts w:ascii="Arial" w:hAnsi="Arial" w:cs="Arial"/>
                <w:color w:val="000000"/>
              </w:rPr>
              <w:t>1 semaine 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E36A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46756">
              <w:rPr>
                <w:rFonts w:ascii="Arial" w:hAnsi="Arial" w:cs="Arial"/>
                <w:color w:val="000000"/>
              </w:rPr>
              <w:t xml:space="preserve">… 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3990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46756"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46756" w14:paraId="27543C8E" w14:textId="77777777" w:rsidTr="00546756">
        <w:trPr>
          <w:trHeight w:val="371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E7C1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A50A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46DF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26D575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DBD7" w14:textId="18366E01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8047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EDFA" w14:textId="77777777" w:rsidR="00546756" w:rsidRPr="00546756" w:rsidRDefault="0054675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46756">
              <w:rPr>
                <w:rFonts w:ascii="Arial" w:hAnsi="Arial" w:cs="Arial"/>
                <w:color w:val="000000"/>
              </w:rPr>
              <w:t>100%</w:t>
            </w:r>
          </w:p>
        </w:tc>
      </w:tr>
    </w:tbl>
    <w:p w14:paraId="3427526E" w14:textId="77777777" w:rsidR="00762C56" w:rsidRDefault="00762C56" w:rsidP="00762C56">
      <w:pPr>
        <w:jc w:val="both"/>
        <w:outlineLvl w:val="0"/>
        <w:rPr>
          <w:rFonts w:ascii="Arial" w:hAnsi="Arial" w:cs="Arial"/>
        </w:rPr>
      </w:pPr>
    </w:p>
    <w:p w14:paraId="63921F33" w14:textId="77777777" w:rsidR="00762C56" w:rsidRPr="002F5927" w:rsidRDefault="00762C56" w:rsidP="00762C56">
      <w:pPr>
        <w:jc w:val="both"/>
        <w:outlineLvl w:val="0"/>
        <w:rPr>
          <w:rFonts w:ascii="Arial" w:hAnsi="Arial" w:cs="Arial"/>
        </w:rPr>
      </w:pPr>
    </w:p>
    <w:p w14:paraId="77C3CE2D" w14:textId="77777777" w:rsidR="001A6A5A" w:rsidRDefault="001A6A5A" w:rsidP="00762C56">
      <w:pPr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>Décrire synthétiquement les outils utilisés.</w:t>
      </w:r>
    </w:p>
    <w:p w14:paraId="2DC98EB5" w14:textId="77777777" w:rsidR="00762C56" w:rsidRDefault="00762C56" w:rsidP="00762C56">
      <w:pPr>
        <w:jc w:val="both"/>
        <w:rPr>
          <w:rFonts w:ascii="Arial" w:hAnsi="Arial" w:cs="Arial"/>
        </w:rPr>
      </w:pPr>
    </w:p>
    <w:p w14:paraId="2874810F" w14:textId="77777777" w:rsidR="00762C56" w:rsidRPr="002F5927" w:rsidRDefault="00762C56" w:rsidP="00762C56">
      <w:pPr>
        <w:jc w:val="both"/>
        <w:rPr>
          <w:rFonts w:ascii="Arial" w:hAnsi="Arial" w:cs="Arial"/>
        </w:rPr>
      </w:pPr>
    </w:p>
    <w:p w14:paraId="1887E4FC" w14:textId="77777777" w:rsidR="001A6A5A" w:rsidRDefault="001A6A5A" w:rsidP="00762C56">
      <w:pPr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 xml:space="preserve">Préciser la fréquence à laquelle les portefeuilles sont revus par les gestionnaires des risques. </w:t>
      </w:r>
    </w:p>
    <w:p w14:paraId="3068446E" w14:textId="77777777" w:rsidR="00762C56" w:rsidRDefault="00762C56" w:rsidP="00762C56">
      <w:pPr>
        <w:jc w:val="both"/>
        <w:rPr>
          <w:rFonts w:ascii="Arial" w:hAnsi="Arial" w:cs="Arial"/>
        </w:rPr>
      </w:pPr>
    </w:p>
    <w:p w14:paraId="2B16023C" w14:textId="77777777" w:rsidR="00762C56" w:rsidRPr="002F5927" w:rsidRDefault="00762C56" w:rsidP="00762C56">
      <w:pPr>
        <w:jc w:val="both"/>
        <w:rPr>
          <w:rFonts w:ascii="Arial" w:hAnsi="Arial" w:cs="Arial"/>
        </w:rPr>
      </w:pPr>
    </w:p>
    <w:p w14:paraId="06607C36" w14:textId="77777777" w:rsidR="00D36D86" w:rsidRDefault="001A6A5A" w:rsidP="00D36D86">
      <w:pPr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>Détailler les interactions entre gestionnaires des risques et gérants de portefeuilles (ex : Comité Risque)</w:t>
      </w:r>
      <w:r w:rsidR="0040331C">
        <w:rPr>
          <w:rFonts w:ascii="Arial" w:hAnsi="Arial" w:cs="Arial"/>
        </w:rPr>
        <w:t>.</w:t>
      </w:r>
    </w:p>
    <w:p w14:paraId="3E89D0E0" w14:textId="4300787A" w:rsidR="00D36D86" w:rsidRDefault="00D36D86" w:rsidP="00D36D86">
      <w:pPr>
        <w:ind w:left="851"/>
        <w:jc w:val="both"/>
        <w:rPr>
          <w:rFonts w:ascii="Arial" w:hAnsi="Arial" w:cs="Arial"/>
        </w:rPr>
      </w:pPr>
    </w:p>
    <w:p w14:paraId="2D41BDAB" w14:textId="77777777" w:rsidR="001A6A5A" w:rsidRPr="002F5927" w:rsidRDefault="001A6A5A" w:rsidP="001E6A48">
      <w:pPr>
        <w:outlineLvl w:val="0"/>
        <w:rPr>
          <w:rFonts w:ascii="Arial" w:hAnsi="Arial" w:cs="Arial"/>
          <w:bCs/>
        </w:rPr>
      </w:pPr>
    </w:p>
    <w:p w14:paraId="4E1604FD" w14:textId="77777777" w:rsidR="001A6A5A" w:rsidRPr="002F5927" w:rsidRDefault="001A6A5A" w:rsidP="001E6A48">
      <w:pPr>
        <w:outlineLvl w:val="0"/>
        <w:rPr>
          <w:rFonts w:ascii="Arial" w:hAnsi="Arial" w:cs="Arial"/>
          <w:bCs/>
        </w:rPr>
      </w:pPr>
    </w:p>
    <w:p w14:paraId="3DCA3CC5" w14:textId="77777777" w:rsidR="001A6A5A" w:rsidRPr="002F5927" w:rsidRDefault="001A6A5A" w:rsidP="001E6A48">
      <w:pPr>
        <w:outlineLvl w:val="0"/>
        <w:rPr>
          <w:rFonts w:ascii="Arial" w:hAnsi="Arial" w:cs="Arial"/>
          <w:bCs/>
        </w:rPr>
      </w:pPr>
    </w:p>
    <w:p w14:paraId="012D0DB7" w14:textId="77777777" w:rsidR="001A6A5A" w:rsidRPr="002F5927" w:rsidRDefault="001A6A5A" w:rsidP="00762C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73E240" w14:textId="77777777" w:rsidR="00A80081" w:rsidRPr="002F5927" w:rsidRDefault="00A80081" w:rsidP="00A80081">
      <w:pPr>
        <w:jc w:val="both"/>
        <w:outlineLvl w:val="0"/>
        <w:rPr>
          <w:rFonts w:ascii="Arial" w:hAnsi="Arial" w:cs="Arial"/>
          <w:bCs/>
        </w:rPr>
      </w:pPr>
    </w:p>
    <w:p w14:paraId="50BB70A4" w14:textId="77777777" w:rsidR="00BA5768" w:rsidRDefault="00BA5768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1DD1C25" w14:textId="77777777" w:rsidR="0008782F" w:rsidRDefault="00BA5768" w:rsidP="0008782F">
      <w:pPr>
        <w:pStyle w:val="Titre1"/>
      </w:pPr>
      <w:r>
        <w:lastRenderedPageBreak/>
        <w:t>VIII</w:t>
      </w:r>
      <w:r w:rsidR="00762C56" w:rsidRPr="002F5927">
        <w:t xml:space="preserve"> - </w:t>
      </w:r>
      <w:r w:rsidR="0008782F" w:rsidRPr="002F5927">
        <w:t xml:space="preserve">Procédures de valorisation du fonds </w:t>
      </w:r>
    </w:p>
    <w:p w14:paraId="5A8D85BD" w14:textId="77777777" w:rsidR="00762C56" w:rsidRPr="00762C56" w:rsidRDefault="00762C56" w:rsidP="00762C56"/>
    <w:p w14:paraId="02509CC0" w14:textId="77777777" w:rsidR="0008782F" w:rsidRDefault="0008782F" w:rsidP="00762C56">
      <w:pPr>
        <w:pStyle w:val="Paragraphedeliste"/>
        <w:numPr>
          <w:ilvl w:val="0"/>
          <w:numId w:val="30"/>
        </w:numPr>
        <w:ind w:left="851"/>
        <w:jc w:val="both"/>
        <w:outlineLvl w:val="0"/>
        <w:rPr>
          <w:rFonts w:ascii="Arial" w:hAnsi="Arial" w:cs="Arial"/>
          <w:bCs/>
        </w:rPr>
      </w:pPr>
      <w:r w:rsidRPr="002F5927">
        <w:rPr>
          <w:rFonts w:ascii="Arial" w:hAnsi="Arial" w:cs="Arial"/>
          <w:bCs/>
        </w:rPr>
        <w:t xml:space="preserve">Nom du </w:t>
      </w:r>
      <w:proofErr w:type="spellStart"/>
      <w:r w:rsidRPr="002F5927">
        <w:rPr>
          <w:rFonts w:ascii="Arial" w:hAnsi="Arial" w:cs="Arial"/>
          <w:bCs/>
        </w:rPr>
        <w:t>valorisateur</w:t>
      </w:r>
      <w:proofErr w:type="spellEnd"/>
    </w:p>
    <w:p w14:paraId="699A133E" w14:textId="77777777" w:rsidR="00762C56" w:rsidRDefault="00762C56" w:rsidP="00762C56">
      <w:pPr>
        <w:jc w:val="both"/>
        <w:outlineLvl w:val="0"/>
        <w:rPr>
          <w:rFonts w:ascii="Arial" w:hAnsi="Arial" w:cs="Arial"/>
          <w:bCs/>
        </w:rPr>
      </w:pPr>
    </w:p>
    <w:p w14:paraId="56E112C8" w14:textId="77777777" w:rsidR="00762C56" w:rsidRPr="00762C56" w:rsidRDefault="00762C56" w:rsidP="00762C56">
      <w:pPr>
        <w:jc w:val="both"/>
        <w:outlineLvl w:val="0"/>
        <w:rPr>
          <w:rFonts w:ascii="Arial" w:hAnsi="Arial" w:cs="Arial"/>
          <w:bCs/>
        </w:rPr>
      </w:pPr>
    </w:p>
    <w:p w14:paraId="139A6AA9" w14:textId="5F14980A" w:rsidR="0008782F" w:rsidRPr="004069EB" w:rsidRDefault="0008782F" w:rsidP="004069EB">
      <w:pPr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 xml:space="preserve">Présenter les grands principes de </w:t>
      </w:r>
      <w:r w:rsidR="00762C56">
        <w:rPr>
          <w:rFonts w:ascii="Arial" w:hAnsi="Arial" w:cs="Arial"/>
        </w:rPr>
        <w:t>votre politique de valorisation</w:t>
      </w:r>
      <w:r w:rsidR="004069EB">
        <w:rPr>
          <w:rFonts w:ascii="Arial" w:hAnsi="Arial" w:cs="Arial"/>
        </w:rPr>
        <w:t xml:space="preserve">, en indiquant dans la mesure du possible </w:t>
      </w:r>
      <w:r w:rsidR="004069EB" w:rsidRPr="004069EB">
        <w:rPr>
          <w:rFonts w:ascii="Arial" w:hAnsi="Arial" w:cs="Arial"/>
        </w:rPr>
        <w:t>les sources de cours, l’utilisation éventuelle de modèles et le traitem</w:t>
      </w:r>
      <w:r w:rsidR="004069EB">
        <w:rPr>
          <w:rFonts w:ascii="Arial" w:hAnsi="Arial" w:cs="Arial"/>
        </w:rPr>
        <w:t xml:space="preserve">ent en cas de titres illiquides, </w:t>
      </w:r>
      <w:r w:rsidR="004069EB" w:rsidRPr="004069EB">
        <w:rPr>
          <w:rFonts w:ascii="Arial" w:hAnsi="Arial" w:cs="Arial"/>
        </w:rPr>
        <w:t>les différentes méthodes de valorisa</w:t>
      </w:r>
      <w:r w:rsidR="004069EB">
        <w:rPr>
          <w:rFonts w:ascii="Arial" w:hAnsi="Arial" w:cs="Arial"/>
        </w:rPr>
        <w:t>t</w:t>
      </w:r>
      <w:r w:rsidR="004069EB" w:rsidRPr="004069EB">
        <w:rPr>
          <w:rFonts w:ascii="Arial" w:hAnsi="Arial" w:cs="Arial"/>
        </w:rPr>
        <w:t>io</w:t>
      </w:r>
      <w:r w:rsidR="004069EB">
        <w:rPr>
          <w:rFonts w:ascii="Arial" w:hAnsi="Arial" w:cs="Arial"/>
        </w:rPr>
        <w:t>n</w:t>
      </w:r>
      <w:r w:rsidR="004069EB" w:rsidRPr="004069EB">
        <w:rPr>
          <w:rFonts w:ascii="Arial" w:hAnsi="Arial" w:cs="Arial"/>
        </w:rPr>
        <w:t xml:space="preserve"> des instruments détenus en portefeuille</w:t>
      </w:r>
      <w:r w:rsidR="004069EB">
        <w:rPr>
          <w:rFonts w:ascii="Arial" w:hAnsi="Arial" w:cs="Arial"/>
        </w:rPr>
        <w:t xml:space="preserve"> </w:t>
      </w:r>
      <w:r w:rsidR="004069EB" w:rsidRPr="004069EB">
        <w:rPr>
          <w:rFonts w:ascii="Arial" w:hAnsi="Arial" w:cs="Arial"/>
        </w:rPr>
        <w:t>(bilan et hors bilan)</w:t>
      </w:r>
      <w:r w:rsidR="00762C56" w:rsidRPr="004069EB">
        <w:rPr>
          <w:rFonts w:ascii="Arial" w:hAnsi="Arial" w:cs="Arial"/>
        </w:rPr>
        <w:t>.</w:t>
      </w:r>
    </w:p>
    <w:p w14:paraId="25FA8D5E" w14:textId="77777777" w:rsidR="00762C56" w:rsidRDefault="00762C56" w:rsidP="004069EB">
      <w:pPr>
        <w:ind w:firstLine="67"/>
        <w:jc w:val="both"/>
        <w:rPr>
          <w:rFonts w:ascii="Arial" w:hAnsi="Arial" w:cs="Arial"/>
        </w:rPr>
      </w:pPr>
    </w:p>
    <w:p w14:paraId="180E1CED" w14:textId="77777777" w:rsidR="00762C56" w:rsidRPr="002F5927" w:rsidRDefault="00762C56" w:rsidP="00762C56">
      <w:pPr>
        <w:jc w:val="both"/>
        <w:rPr>
          <w:rFonts w:ascii="Arial" w:hAnsi="Arial" w:cs="Arial"/>
        </w:rPr>
      </w:pPr>
    </w:p>
    <w:p w14:paraId="70787867" w14:textId="2FD29EBD" w:rsidR="0040331C" w:rsidRDefault="0008782F" w:rsidP="0040331C">
      <w:pPr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2F5927">
        <w:rPr>
          <w:rFonts w:ascii="Arial" w:hAnsi="Arial" w:cs="Arial"/>
        </w:rPr>
        <w:t xml:space="preserve">Indiquer si </w:t>
      </w:r>
      <w:r w:rsidR="007101AC">
        <w:rPr>
          <w:rFonts w:ascii="Arial" w:hAnsi="Arial" w:cs="Arial"/>
        </w:rPr>
        <w:t>ont été mis en place</w:t>
      </w:r>
      <w:r w:rsidRPr="002F5927">
        <w:rPr>
          <w:rFonts w:ascii="Arial" w:hAnsi="Arial" w:cs="Arial"/>
        </w:rPr>
        <w:t xml:space="preserve"> des mécanismes de swing </w:t>
      </w:r>
      <w:proofErr w:type="spellStart"/>
      <w:r w:rsidRPr="002F5927">
        <w:rPr>
          <w:rFonts w:ascii="Arial" w:hAnsi="Arial" w:cs="Arial"/>
        </w:rPr>
        <w:t>pricing</w:t>
      </w:r>
      <w:proofErr w:type="spellEnd"/>
      <w:r w:rsidRPr="002F5927">
        <w:rPr>
          <w:rFonts w:ascii="Arial" w:hAnsi="Arial" w:cs="Arial"/>
        </w:rPr>
        <w:t xml:space="preserve">, </w:t>
      </w:r>
      <w:proofErr w:type="spellStart"/>
      <w:r w:rsidRPr="002F5927">
        <w:rPr>
          <w:rFonts w:ascii="Arial" w:hAnsi="Arial" w:cs="Arial"/>
        </w:rPr>
        <w:t>gates</w:t>
      </w:r>
      <w:proofErr w:type="spellEnd"/>
      <w:r w:rsidRPr="002F5927">
        <w:rPr>
          <w:rFonts w:ascii="Arial" w:hAnsi="Arial" w:cs="Arial"/>
        </w:rPr>
        <w:t>, ou tout autre mécanisme visant à réguler les mouvements de souscription et rachat des fonds</w:t>
      </w:r>
      <w:r w:rsidR="004069EB">
        <w:rPr>
          <w:rFonts w:ascii="Arial" w:hAnsi="Arial" w:cs="Arial"/>
        </w:rPr>
        <w:t xml:space="preserve"> (soft et hard close, lignes de back-up)</w:t>
      </w:r>
      <w:r w:rsidR="00762C56">
        <w:rPr>
          <w:rFonts w:ascii="Arial" w:hAnsi="Arial" w:cs="Arial"/>
        </w:rPr>
        <w:t>.</w:t>
      </w:r>
    </w:p>
    <w:p w14:paraId="58AFEC1F" w14:textId="77777777" w:rsidR="0040331C" w:rsidRDefault="0040331C" w:rsidP="0040331C">
      <w:pPr>
        <w:jc w:val="both"/>
        <w:rPr>
          <w:rFonts w:ascii="Arial" w:hAnsi="Arial" w:cs="Arial"/>
        </w:rPr>
      </w:pPr>
    </w:p>
    <w:p w14:paraId="70023FE5" w14:textId="77777777" w:rsidR="0040331C" w:rsidRDefault="0040331C" w:rsidP="0040331C">
      <w:pPr>
        <w:jc w:val="both"/>
        <w:rPr>
          <w:rFonts w:ascii="Arial" w:hAnsi="Arial" w:cs="Arial"/>
        </w:rPr>
      </w:pPr>
    </w:p>
    <w:p w14:paraId="215A1DD8" w14:textId="77777777" w:rsidR="001E6A48" w:rsidRPr="0040331C" w:rsidRDefault="001E6A48" w:rsidP="0040331C">
      <w:pPr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40331C">
        <w:rPr>
          <w:rFonts w:ascii="Arial" w:hAnsi="Arial" w:cs="Arial"/>
        </w:rPr>
        <w:t>Joindre les éléments suivants :</w:t>
      </w:r>
    </w:p>
    <w:p w14:paraId="19379F71" w14:textId="68F65F63" w:rsidR="0040331C" w:rsidRDefault="00DB6286" w:rsidP="0040331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p</w:t>
      </w:r>
      <w:r w:rsidR="0068374C" w:rsidRPr="0040331C">
        <w:rPr>
          <w:rFonts w:ascii="Arial" w:hAnsi="Arial" w:cs="Arial"/>
        </w:rPr>
        <w:t xml:space="preserve">rospectus du Fonds ou de la SICAV et le </w:t>
      </w:r>
      <w:r w:rsidR="001E6A48" w:rsidRPr="0040331C">
        <w:rPr>
          <w:rFonts w:ascii="Arial" w:hAnsi="Arial" w:cs="Arial"/>
        </w:rPr>
        <w:t>DICI du fonds</w:t>
      </w:r>
      <w:r w:rsidR="00971EFB">
        <w:rPr>
          <w:rFonts w:ascii="Arial" w:hAnsi="Arial" w:cs="Arial"/>
        </w:rPr>
        <w:t xml:space="preserve"> </w:t>
      </w:r>
      <w:r w:rsidR="001E6A48" w:rsidRPr="0040331C">
        <w:rPr>
          <w:rFonts w:ascii="Arial" w:hAnsi="Arial" w:cs="Arial"/>
        </w:rPr>
        <w:t>/ de la part</w:t>
      </w:r>
      <w:r w:rsidR="0068374C" w:rsidRPr="0040331C">
        <w:rPr>
          <w:rFonts w:ascii="Arial" w:hAnsi="Arial" w:cs="Arial"/>
        </w:rPr>
        <w:t xml:space="preserve"> </w:t>
      </w:r>
      <w:r w:rsidR="005D3083" w:rsidRPr="0040331C">
        <w:rPr>
          <w:rFonts w:ascii="Arial" w:hAnsi="Arial" w:cs="Arial"/>
        </w:rPr>
        <w:t>proposée</w:t>
      </w:r>
      <w:r w:rsidR="00762C56" w:rsidRPr="0040331C">
        <w:rPr>
          <w:rFonts w:ascii="Arial" w:hAnsi="Arial" w:cs="Arial"/>
        </w:rPr>
        <w:t>.</w:t>
      </w:r>
    </w:p>
    <w:p w14:paraId="05EC7FD5" w14:textId="77777777" w:rsidR="00D66F35" w:rsidRPr="0040331C" w:rsidRDefault="001E6A48" w:rsidP="0040331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</w:rPr>
      </w:pPr>
      <w:r w:rsidRPr="0040331C">
        <w:rPr>
          <w:rFonts w:ascii="Arial" w:hAnsi="Arial" w:cs="Arial"/>
        </w:rPr>
        <w:t>Le</w:t>
      </w:r>
      <w:r w:rsidR="0068374C" w:rsidRPr="0040331C">
        <w:rPr>
          <w:rFonts w:ascii="Arial" w:hAnsi="Arial" w:cs="Arial"/>
        </w:rPr>
        <w:t>s</w:t>
      </w:r>
      <w:r w:rsidRPr="0040331C">
        <w:rPr>
          <w:rFonts w:ascii="Arial" w:hAnsi="Arial" w:cs="Arial"/>
        </w:rPr>
        <w:t xml:space="preserve"> </w:t>
      </w:r>
      <w:r w:rsidR="0068374C" w:rsidRPr="0040331C">
        <w:rPr>
          <w:rFonts w:ascii="Arial" w:hAnsi="Arial" w:cs="Arial"/>
        </w:rPr>
        <w:t>3 der</w:t>
      </w:r>
      <w:r w:rsidR="005D3083" w:rsidRPr="0040331C">
        <w:rPr>
          <w:rFonts w:ascii="Arial" w:hAnsi="Arial" w:cs="Arial"/>
        </w:rPr>
        <w:t>n</w:t>
      </w:r>
      <w:r w:rsidRPr="0040331C">
        <w:rPr>
          <w:rFonts w:ascii="Arial" w:hAnsi="Arial" w:cs="Arial"/>
        </w:rPr>
        <w:t>ier</w:t>
      </w:r>
      <w:r w:rsidR="0068374C" w:rsidRPr="0040331C">
        <w:rPr>
          <w:rFonts w:ascii="Arial" w:hAnsi="Arial" w:cs="Arial"/>
        </w:rPr>
        <w:t>s</w:t>
      </w:r>
      <w:r w:rsidRPr="0040331C">
        <w:rPr>
          <w:rFonts w:ascii="Arial" w:hAnsi="Arial" w:cs="Arial"/>
        </w:rPr>
        <w:t xml:space="preserve"> rapport</w:t>
      </w:r>
      <w:r w:rsidR="005D3083" w:rsidRPr="0040331C">
        <w:rPr>
          <w:rFonts w:ascii="Arial" w:hAnsi="Arial" w:cs="Arial"/>
        </w:rPr>
        <w:t>s</w:t>
      </w:r>
      <w:r w:rsidRPr="0040331C">
        <w:rPr>
          <w:rFonts w:ascii="Arial" w:hAnsi="Arial" w:cs="Arial"/>
        </w:rPr>
        <w:t xml:space="preserve"> mensuel</w:t>
      </w:r>
      <w:r w:rsidR="005D3083" w:rsidRPr="0040331C">
        <w:rPr>
          <w:rFonts w:ascii="Arial" w:hAnsi="Arial" w:cs="Arial"/>
        </w:rPr>
        <w:t>s</w:t>
      </w:r>
      <w:r w:rsidRPr="0040331C">
        <w:rPr>
          <w:rFonts w:ascii="Arial" w:hAnsi="Arial" w:cs="Arial"/>
        </w:rPr>
        <w:t xml:space="preserve"> de la part</w:t>
      </w:r>
      <w:r w:rsidR="005D3083" w:rsidRPr="0040331C">
        <w:rPr>
          <w:rFonts w:ascii="Arial" w:hAnsi="Arial" w:cs="Arial"/>
        </w:rPr>
        <w:t xml:space="preserve"> du fonds proposé</w:t>
      </w:r>
      <w:r w:rsidRPr="0040331C">
        <w:rPr>
          <w:rFonts w:ascii="Arial" w:hAnsi="Arial" w:cs="Arial"/>
        </w:rPr>
        <w:t>.</w:t>
      </w:r>
    </w:p>
    <w:p w14:paraId="5CF0B052" w14:textId="77777777" w:rsidR="00762C56" w:rsidRDefault="00762C56" w:rsidP="00762C56">
      <w:pPr>
        <w:jc w:val="both"/>
        <w:rPr>
          <w:rFonts w:ascii="Arial" w:hAnsi="Arial" w:cs="Arial"/>
        </w:rPr>
      </w:pPr>
    </w:p>
    <w:p w14:paraId="18A91E7F" w14:textId="2B6B8964" w:rsidR="004431F3" w:rsidRDefault="004431F3" w:rsidP="00E604CB"/>
    <w:p w14:paraId="57829B77" w14:textId="228DD2A7" w:rsidR="00296B39" w:rsidRPr="004431F3" w:rsidRDefault="00296B39" w:rsidP="00296B39">
      <w:pPr>
        <w:jc w:val="center"/>
      </w:pPr>
      <w:r>
        <w:t>§§§</w:t>
      </w:r>
      <w:bookmarkStart w:id="1" w:name="_GoBack"/>
      <w:bookmarkEnd w:id="1"/>
    </w:p>
    <w:sectPr w:rsidR="00296B39" w:rsidRPr="004431F3" w:rsidSect="00B34B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BC8CA" w14:textId="77777777" w:rsidR="00153D83" w:rsidRDefault="00153D83" w:rsidP="00F43C1F">
      <w:r>
        <w:separator/>
      </w:r>
    </w:p>
  </w:endnote>
  <w:endnote w:type="continuationSeparator" w:id="0">
    <w:p w14:paraId="4128F123" w14:textId="77777777" w:rsidR="00153D83" w:rsidRDefault="00153D83" w:rsidP="00F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646080"/>
      <w:docPartObj>
        <w:docPartGallery w:val="Page Numbers (Bottom of Page)"/>
        <w:docPartUnique/>
      </w:docPartObj>
    </w:sdtPr>
    <w:sdtEndPr/>
    <w:sdtContent>
      <w:p w14:paraId="0A30DCDA" w14:textId="2BD19FDA" w:rsidR="00153D83" w:rsidRDefault="00153D8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B3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F955098" w14:textId="77777777" w:rsidR="00153D83" w:rsidRDefault="00153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10D7" w14:textId="77777777" w:rsidR="00153D83" w:rsidRDefault="00153D83" w:rsidP="00F43C1F">
      <w:r>
        <w:separator/>
      </w:r>
    </w:p>
  </w:footnote>
  <w:footnote w:type="continuationSeparator" w:id="0">
    <w:p w14:paraId="43E5C62C" w14:textId="77777777" w:rsidR="00153D83" w:rsidRDefault="00153D83" w:rsidP="00F43C1F">
      <w:r>
        <w:continuationSeparator/>
      </w:r>
    </w:p>
  </w:footnote>
  <w:footnote w:id="1">
    <w:p w14:paraId="78C16CC2" w14:textId="43C81022" w:rsidR="00153D83" w:rsidRPr="00971EFB" w:rsidRDefault="00153D83">
      <w:pPr>
        <w:pStyle w:val="Notedebasdepage"/>
        <w:rPr>
          <w:rFonts w:ascii="Arial" w:hAnsi="Arial" w:cs="Arial"/>
          <w:color w:val="4C4C4C"/>
          <w:sz w:val="18"/>
          <w:szCs w:val="18"/>
        </w:rPr>
      </w:pPr>
      <w:r>
        <w:rPr>
          <w:rStyle w:val="Appelnotedebasdep"/>
        </w:rPr>
        <w:footnoteRef/>
      </w:r>
      <w:r>
        <w:t xml:space="preserve">  </w:t>
      </w:r>
      <w:r w:rsidRPr="00971EFB">
        <w:rPr>
          <w:rFonts w:ascii="Arial" w:hAnsi="Arial" w:cs="Arial"/>
          <w:color w:val="4C4C4C"/>
          <w:sz w:val="18"/>
          <w:szCs w:val="18"/>
        </w:rPr>
        <w:t xml:space="preserve">Code Bloomberg : </w:t>
      </w:r>
      <w:r>
        <w:rPr>
          <w:rFonts w:ascii="Arial" w:hAnsi="Arial" w:cs="Arial"/>
          <w:color w:val="4C4C4C"/>
          <w:sz w:val="18"/>
          <w:szCs w:val="18"/>
        </w:rPr>
        <w:t xml:space="preserve">Un </w:t>
      </w:r>
      <w:proofErr w:type="spellStart"/>
      <w:r w:rsidRPr="00971EFB">
        <w:rPr>
          <w:rFonts w:ascii="Arial" w:hAnsi="Arial" w:cs="Arial"/>
          <w:b/>
          <w:color w:val="4C4C4C"/>
          <w:sz w:val="18"/>
          <w:szCs w:val="18"/>
        </w:rPr>
        <w:t>ticker</w:t>
      </w:r>
      <w:proofErr w:type="spellEnd"/>
      <w:r w:rsidRPr="00971EFB">
        <w:rPr>
          <w:rFonts w:ascii="Arial" w:hAnsi="Arial" w:cs="Arial"/>
          <w:b/>
          <w:color w:val="4C4C4C"/>
          <w:sz w:val="18"/>
          <w:szCs w:val="18"/>
        </w:rPr>
        <w:t xml:space="preserve"> </w:t>
      </w:r>
      <w:r w:rsidRPr="00971EFB">
        <w:rPr>
          <w:rFonts w:ascii="Arial" w:hAnsi="Arial" w:cs="Arial"/>
          <w:color w:val="4C4C4C"/>
          <w:sz w:val="18"/>
          <w:szCs w:val="18"/>
        </w:rPr>
        <w:t>Bloomberg</w:t>
      </w:r>
      <w:r>
        <w:rPr>
          <w:rFonts w:ascii="Arial" w:hAnsi="Arial" w:cs="Arial"/>
          <w:color w:val="4C4C4C"/>
          <w:sz w:val="18"/>
          <w:szCs w:val="18"/>
        </w:rPr>
        <w:t xml:space="preserve"> est un symbole unique permettant d’identifier publiquement un titre (action, obligation, futures, etc.), constitué de lettres et/ou de chiffres, et propre aux terminaux d’information Bloomberg</w:t>
      </w:r>
      <w:r w:rsidR="00971EFB">
        <w:rPr>
          <w:rFonts w:ascii="Arial" w:hAnsi="Arial" w:cs="Arial"/>
          <w:color w:val="4C4C4C"/>
          <w:sz w:val="18"/>
          <w:szCs w:val="18"/>
        </w:rPr>
        <w:t xml:space="preserve"> </w:t>
      </w:r>
      <w:r>
        <w:rPr>
          <w:rFonts w:ascii="Arial" w:hAnsi="Arial" w:cs="Arial"/>
          <w:color w:val="4C4C4C"/>
          <w:sz w:val="18"/>
          <w:szCs w:val="18"/>
        </w:rPr>
        <w:t>(source : Financedemarche.fr)</w:t>
      </w:r>
    </w:p>
    <w:p w14:paraId="1DA294C3" w14:textId="77777777" w:rsidR="00153D83" w:rsidRPr="00971EFB" w:rsidRDefault="00153D83">
      <w:pPr>
        <w:pStyle w:val="Notedebasdepage"/>
        <w:rPr>
          <w:rFonts w:ascii="Arial" w:hAnsi="Arial" w:cs="Arial"/>
          <w:color w:val="4C4C4C"/>
          <w:sz w:val="18"/>
          <w:szCs w:val="18"/>
        </w:rPr>
      </w:pPr>
    </w:p>
  </w:footnote>
  <w:footnote w:id="2">
    <w:p w14:paraId="06C960B4" w14:textId="0C063B70" w:rsidR="00153D83" w:rsidRDefault="00153D83">
      <w:pPr>
        <w:pStyle w:val="Notedebasdepage"/>
        <w:rPr>
          <w:rFonts w:ascii="Arial" w:hAnsi="Arial" w:cs="Arial"/>
          <w:color w:val="4C4C4C"/>
          <w:sz w:val="18"/>
          <w:szCs w:val="18"/>
        </w:rPr>
      </w:pPr>
      <w:r w:rsidRPr="00971EFB">
        <w:rPr>
          <w:rFonts w:ascii="Arial" w:hAnsi="Arial" w:cs="Arial"/>
          <w:color w:val="4C4C4C"/>
          <w:sz w:val="18"/>
          <w:szCs w:val="18"/>
        </w:rPr>
        <w:footnoteRef/>
      </w:r>
      <w:r w:rsidRPr="00971EFB">
        <w:rPr>
          <w:rFonts w:ascii="Arial" w:hAnsi="Arial" w:cs="Arial"/>
          <w:color w:val="4C4C4C"/>
          <w:sz w:val="18"/>
          <w:szCs w:val="18"/>
        </w:rPr>
        <w:t xml:space="preserve">  Code GIIN : Le « GIIN » ou « Global </w:t>
      </w:r>
      <w:proofErr w:type="spellStart"/>
      <w:r w:rsidRPr="00971EFB">
        <w:rPr>
          <w:rFonts w:ascii="Arial" w:hAnsi="Arial" w:cs="Arial"/>
          <w:color w:val="4C4C4C"/>
          <w:sz w:val="18"/>
          <w:szCs w:val="18"/>
        </w:rPr>
        <w:t>Intermediary</w:t>
      </w:r>
      <w:proofErr w:type="spellEnd"/>
      <w:r w:rsidRPr="00971EFB">
        <w:rPr>
          <w:rFonts w:ascii="Arial" w:hAnsi="Arial" w:cs="Arial"/>
          <w:color w:val="4C4C4C"/>
          <w:sz w:val="18"/>
          <w:szCs w:val="18"/>
        </w:rPr>
        <w:t xml:space="preserve"> Identification </w:t>
      </w:r>
      <w:proofErr w:type="spellStart"/>
      <w:r w:rsidRPr="00971EFB">
        <w:rPr>
          <w:rFonts w:ascii="Arial" w:hAnsi="Arial" w:cs="Arial"/>
          <w:color w:val="4C4C4C"/>
          <w:sz w:val="18"/>
          <w:szCs w:val="18"/>
        </w:rPr>
        <w:t>Number</w:t>
      </w:r>
      <w:proofErr w:type="spellEnd"/>
      <w:r w:rsidRPr="00971EFB">
        <w:rPr>
          <w:rFonts w:ascii="Arial" w:hAnsi="Arial" w:cs="Arial"/>
          <w:color w:val="4C4C4C"/>
          <w:sz w:val="18"/>
          <w:szCs w:val="18"/>
        </w:rPr>
        <w:t xml:space="preserve"> » est un numéro reçu des autorités fiscales Américaines</w:t>
      </w:r>
      <w:r w:rsidR="00971EFB">
        <w:rPr>
          <w:rFonts w:ascii="Arial" w:hAnsi="Arial" w:cs="Arial"/>
          <w:color w:val="4C4C4C"/>
          <w:sz w:val="18"/>
          <w:szCs w:val="18"/>
        </w:rPr>
        <w:t xml:space="preserve"> (</w:t>
      </w:r>
      <w:r w:rsidR="00C507EC">
        <w:rPr>
          <w:rFonts w:ascii="Arial" w:hAnsi="Arial" w:cs="Arial"/>
          <w:color w:val="4C4C4C"/>
          <w:sz w:val="18"/>
          <w:szCs w:val="18"/>
        </w:rPr>
        <w:t>dans le cadre de la Loi</w:t>
      </w:r>
      <w:r w:rsidRPr="00971EFB">
        <w:rPr>
          <w:rFonts w:ascii="Arial" w:hAnsi="Arial" w:cs="Arial"/>
          <w:color w:val="4C4C4C"/>
          <w:sz w:val="18"/>
          <w:szCs w:val="18"/>
        </w:rPr>
        <w:t xml:space="preserve"> FATCA) </w:t>
      </w:r>
    </w:p>
    <w:p w14:paraId="41EA82B8" w14:textId="77777777" w:rsidR="00971EFB" w:rsidRPr="00971EFB" w:rsidRDefault="00971EFB">
      <w:pPr>
        <w:pStyle w:val="Notedebasdepage"/>
        <w:rPr>
          <w:rFonts w:ascii="Arial" w:hAnsi="Arial" w:cs="Arial"/>
          <w:color w:val="4C4C4C"/>
          <w:sz w:val="18"/>
          <w:szCs w:val="18"/>
        </w:rPr>
      </w:pPr>
    </w:p>
  </w:footnote>
  <w:footnote w:id="3">
    <w:p w14:paraId="15E2A050" w14:textId="068A66CB" w:rsidR="00153D83" w:rsidRDefault="00153D83">
      <w:pPr>
        <w:pStyle w:val="Notedebasdepage"/>
      </w:pPr>
      <w:r w:rsidRPr="00971EFB">
        <w:rPr>
          <w:rFonts w:ascii="Arial" w:hAnsi="Arial" w:cs="Arial"/>
          <w:color w:val="4C4C4C"/>
          <w:sz w:val="18"/>
          <w:szCs w:val="18"/>
        </w:rPr>
        <w:footnoteRef/>
      </w:r>
      <w:r w:rsidRPr="00971EFB">
        <w:rPr>
          <w:rFonts w:ascii="Arial" w:hAnsi="Arial" w:cs="Arial"/>
          <w:color w:val="4C4C4C"/>
          <w:sz w:val="18"/>
          <w:szCs w:val="18"/>
        </w:rPr>
        <w:t xml:space="preserve"> Code RIC : Acronyme de Reuters Instruments Code. Le code RIC désigne de façon unique chaque valeur sur le système Reuters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A6C4" w14:textId="77777777" w:rsidR="00153D83" w:rsidRDefault="00153D83">
    <w:pPr>
      <w:pStyle w:val="En-tte"/>
    </w:pPr>
    <w:r>
      <w:t>Questionnaire standard portefeuille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8E9"/>
    <w:multiLevelType w:val="hybridMultilevel"/>
    <w:tmpl w:val="06D43D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6BA7"/>
    <w:multiLevelType w:val="hybridMultilevel"/>
    <w:tmpl w:val="5C44F2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D48D9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5B8"/>
    <w:multiLevelType w:val="hybridMultilevel"/>
    <w:tmpl w:val="C322A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3F0"/>
    <w:multiLevelType w:val="hybridMultilevel"/>
    <w:tmpl w:val="8DEC43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0533F"/>
    <w:multiLevelType w:val="hybridMultilevel"/>
    <w:tmpl w:val="65140CA6"/>
    <w:lvl w:ilvl="0" w:tplc="6D280EF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19C135AA"/>
    <w:multiLevelType w:val="hybridMultilevel"/>
    <w:tmpl w:val="B4861176"/>
    <w:lvl w:ilvl="0" w:tplc="77B4A5DE">
      <w:start w:val="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43B"/>
    <w:multiLevelType w:val="hybridMultilevel"/>
    <w:tmpl w:val="FD16CBE0"/>
    <w:lvl w:ilvl="0" w:tplc="2F8A442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77F"/>
    <w:multiLevelType w:val="hybridMultilevel"/>
    <w:tmpl w:val="5C9AD1FA"/>
    <w:lvl w:ilvl="0" w:tplc="FBFC9FD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0731BD7"/>
    <w:multiLevelType w:val="hybridMultilevel"/>
    <w:tmpl w:val="59104490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2670AB1"/>
    <w:multiLevelType w:val="hybridMultilevel"/>
    <w:tmpl w:val="290ACBA6"/>
    <w:lvl w:ilvl="0" w:tplc="95A085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D77F4"/>
    <w:multiLevelType w:val="hybridMultilevel"/>
    <w:tmpl w:val="42401348"/>
    <w:lvl w:ilvl="0" w:tplc="81D09B3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275EA"/>
    <w:multiLevelType w:val="hybridMultilevel"/>
    <w:tmpl w:val="C4DEEE26"/>
    <w:lvl w:ilvl="0" w:tplc="95A085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9656C"/>
    <w:multiLevelType w:val="hybridMultilevel"/>
    <w:tmpl w:val="DE46BC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109EA"/>
    <w:multiLevelType w:val="hybridMultilevel"/>
    <w:tmpl w:val="1290608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0452CC"/>
    <w:multiLevelType w:val="hybridMultilevel"/>
    <w:tmpl w:val="2D00B1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3A3F54"/>
    <w:multiLevelType w:val="hybridMultilevel"/>
    <w:tmpl w:val="8B3E2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D48D9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778E9"/>
    <w:multiLevelType w:val="hybridMultilevel"/>
    <w:tmpl w:val="E8640B16"/>
    <w:lvl w:ilvl="0" w:tplc="80D276B4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847F96"/>
    <w:multiLevelType w:val="hybridMultilevel"/>
    <w:tmpl w:val="E47CF264"/>
    <w:lvl w:ilvl="0" w:tplc="C7A22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33F2"/>
    <w:multiLevelType w:val="hybridMultilevel"/>
    <w:tmpl w:val="29F4CD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52AA2"/>
    <w:multiLevelType w:val="hybridMultilevel"/>
    <w:tmpl w:val="C9B240DC"/>
    <w:lvl w:ilvl="0" w:tplc="E5CA0D48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F57"/>
    <w:multiLevelType w:val="hybridMultilevel"/>
    <w:tmpl w:val="ECDA0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25DD6"/>
    <w:multiLevelType w:val="hybridMultilevel"/>
    <w:tmpl w:val="DB6A2218"/>
    <w:lvl w:ilvl="0" w:tplc="3250B0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803BFB"/>
    <w:multiLevelType w:val="hybridMultilevel"/>
    <w:tmpl w:val="33AE032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847577"/>
    <w:multiLevelType w:val="hybridMultilevel"/>
    <w:tmpl w:val="E55C852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5C5A06"/>
    <w:multiLevelType w:val="hybridMultilevel"/>
    <w:tmpl w:val="A8CC4428"/>
    <w:lvl w:ilvl="0" w:tplc="3B9633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F0309"/>
    <w:multiLevelType w:val="hybridMultilevel"/>
    <w:tmpl w:val="DEE8225E"/>
    <w:lvl w:ilvl="0" w:tplc="223CBBF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769CC"/>
    <w:multiLevelType w:val="hybridMultilevel"/>
    <w:tmpl w:val="F6B4F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8043C8C"/>
    <w:multiLevelType w:val="multilevel"/>
    <w:tmpl w:val="04A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A95833"/>
    <w:multiLevelType w:val="hybridMultilevel"/>
    <w:tmpl w:val="AB22E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E279E"/>
    <w:multiLevelType w:val="hybridMultilevel"/>
    <w:tmpl w:val="AB22E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36547"/>
    <w:multiLevelType w:val="hybridMultilevel"/>
    <w:tmpl w:val="5DEA2C8E"/>
    <w:lvl w:ilvl="0" w:tplc="040C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775C5A11"/>
    <w:multiLevelType w:val="hybridMultilevel"/>
    <w:tmpl w:val="F2E27DE0"/>
    <w:lvl w:ilvl="0" w:tplc="8FFEA52C">
      <w:start w:val="8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 w15:restartNumberingAfterBreak="0">
    <w:nsid w:val="7B2E56F6"/>
    <w:multiLevelType w:val="hybridMultilevel"/>
    <w:tmpl w:val="7DA818E8"/>
    <w:lvl w:ilvl="0" w:tplc="E654E3AA">
      <w:start w:val="1"/>
      <w:numFmt w:val="bullet"/>
      <w:pStyle w:val="Normal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"/>
  </w:num>
  <w:num w:numId="5">
    <w:abstractNumId w:val="15"/>
  </w:num>
  <w:num w:numId="6">
    <w:abstractNumId w:val="25"/>
  </w:num>
  <w:num w:numId="7">
    <w:abstractNumId w:val="10"/>
  </w:num>
  <w:num w:numId="8">
    <w:abstractNumId w:val="24"/>
  </w:num>
  <w:num w:numId="9">
    <w:abstractNumId w:val="21"/>
  </w:num>
  <w:num w:numId="10">
    <w:abstractNumId w:val="11"/>
  </w:num>
  <w:num w:numId="11">
    <w:abstractNumId w:val="9"/>
  </w:num>
  <w:num w:numId="12">
    <w:abstractNumId w:val="29"/>
  </w:num>
  <w:num w:numId="13">
    <w:abstractNumId w:val="12"/>
  </w:num>
  <w:num w:numId="14">
    <w:abstractNumId w:val="18"/>
  </w:num>
  <w:num w:numId="15">
    <w:abstractNumId w:val="5"/>
  </w:num>
  <w:num w:numId="16">
    <w:abstractNumId w:val="6"/>
  </w:num>
  <w:num w:numId="17">
    <w:abstractNumId w:val="32"/>
  </w:num>
  <w:num w:numId="18">
    <w:abstractNumId w:val="20"/>
  </w:num>
  <w:num w:numId="19">
    <w:abstractNumId w:val="16"/>
  </w:num>
  <w:num w:numId="20">
    <w:abstractNumId w:val="26"/>
  </w:num>
  <w:num w:numId="21">
    <w:abstractNumId w:val="14"/>
  </w:num>
  <w:num w:numId="22">
    <w:abstractNumId w:val="22"/>
  </w:num>
  <w:num w:numId="23">
    <w:abstractNumId w:val="3"/>
  </w:num>
  <w:num w:numId="24">
    <w:abstractNumId w:val="2"/>
  </w:num>
  <w:num w:numId="25">
    <w:abstractNumId w:val="17"/>
  </w:num>
  <w:num w:numId="26">
    <w:abstractNumId w:val="28"/>
  </w:num>
  <w:num w:numId="27">
    <w:abstractNumId w:val="30"/>
  </w:num>
  <w:num w:numId="28">
    <w:abstractNumId w:val="7"/>
  </w:num>
  <w:num w:numId="29">
    <w:abstractNumId w:val="4"/>
  </w:num>
  <w:num w:numId="30">
    <w:abstractNumId w:val="31"/>
  </w:num>
  <w:num w:numId="31">
    <w:abstractNumId w:val="19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B"/>
    <w:rsid w:val="00004F53"/>
    <w:rsid w:val="00016946"/>
    <w:rsid w:val="000243D7"/>
    <w:rsid w:val="000251FB"/>
    <w:rsid w:val="00025A7A"/>
    <w:rsid w:val="00026466"/>
    <w:rsid w:val="000314E6"/>
    <w:rsid w:val="0005382F"/>
    <w:rsid w:val="00061343"/>
    <w:rsid w:val="000656BB"/>
    <w:rsid w:val="00072A0B"/>
    <w:rsid w:val="00072F1A"/>
    <w:rsid w:val="00081D36"/>
    <w:rsid w:val="000846FA"/>
    <w:rsid w:val="0008782F"/>
    <w:rsid w:val="000907F6"/>
    <w:rsid w:val="00096091"/>
    <w:rsid w:val="000A0DC7"/>
    <w:rsid w:val="000A1D4A"/>
    <w:rsid w:val="000B0556"/>
    <w:rsid w:val="000B7518"/>
    <w:rsid w:val="000C30FB"/>
    <w:rsid w:val="000C4CDD"/>
    <w:rsid w:val="000C64BC"/>
    <w:rsid w:val="000C78FB"/>
    <w:rsid w:val="000D4857"/>
    <w:rsid w:val="000F5501"/>
    <w:rsid w:val="000F5AB2"/>
    <w:rsid w:val="000F7B69"/>
    <w:rsid w:val="00104B7F"/>
    <w:rsid w:val="001071B1"/>
    <w:rsid w:val="0012088C"/>
    <w:rsid w:val="001244B1"/>
    <w:rsid w:val="00124857"/>
    <w:rsid w:val="00153D83"/>
    <w:rsid w:val="00160AFF"/>
    <w:rsid w:val="00160C95"/>
    <w:rsid w:val="0016210B"/>
    <w:rsid w:val="001768AF"/>
    <w:rsid w:val="00182B09"/>
    <w:rsid w:val="00187204"/>
    <w:rsid w:val="001A15E9"/>
    <w:rsid w:val="001A1E09"/>
    <w:rsid w:val="001A39F7"/>
    <w:rsid w:val="001A6A5A"/>
    <w:rsid w:val="001B4A4E"/>
    <w:rsid w:val="001C30AA"/>
    <w:rsid w:val="001D1D71"/>
    <w:rsid w:val="001D3006"/>
    <w:rsid w:val="001D69E5"/>
    <w:rsid w:val="001E4927"/>
    <w:rsid w:val="001E6A48"/>
    <w:rsid w:val="001F51CA"/>
    <w:rsid w:val="001F6FD9"/>
    <w:rsid w:val="00216C33"/>
    <w:rsid w:val="002226B3"/>
    <w:rsid w:val="002302F4"/>
    <w:rsid w:val="00240423"/>
    <w:rsid w:val="00260290"/>
    <w:rsid w:val="002620A0"/>
    <w:rsid w:val="00270FFB"/>
    <w:rsid w:val="00280A5F"/>
    <w:rsid w:val="00284CF4"/>
    <w:rsid w:val="00285954"/>
    <w:rsid w:val="002905FF"/>
    <w:rsid w:val="00294E84"/>
    <w:rsid w:val="00296B39"/>
    <w:rsid w:val="002A53AB"/>
    <w:rsid w:val="002A6593"/>
    <w:rsid w:val="002E17E6"/>
    <w:rsid w:val="002E25F0"/>
    <w:rsid w:val="002E377B"/>
    <w:rsid w:val="002E780A"/>
    <w:rsid w:val="002F1E1D"/>
    <w:rsid w:val="002F4F2A"/>
    <w:rsid w:val="002F5927"/>
    <w:rsid w:val="00304D17"/>
    <w:rsid w:val="003052B1"/>
    <w:rsid w:val="00306ABE"/>
    <w:rsid w:val="00317319"/>
    <w:rsid w:val="0032086F"/>
    <w:rsid w:val="00321087"/>
    <w:rsid w:val="00330352"/>
    <w:rsid w:val="00330C1D"/>
    <w:rsid w:val="003400E0"/>
    <w:rsid w:val="00340A46"/>
    <w:rsid w:val="00342FA7"/>
    <w:rsid w:val="00343C97"/>
    <w:rsid w:val="00346C81"/>
    <w:rsid w:val="00347168"/>
    <w:rsid w:val="00360BF7"/>
    <w:rsid w:val="00363A57"/>
    <w:rsid w:val="00371DD7"/>
    <w:rsid w:val="003763AB"/>
    <w:rsid w:val="003807CA"/>
    <w:rsid w:val="00385995"/>
    <w:rsid w:val="00395009"/>
    <w:rsid w:val="00395E3A"/>
    <w:rsid w:val="0039645F"/>
    <w:rsid w:val="003C4BC0"/>
    <w:rsid w:val="003D050E"/>
    <w:rsid w:val="003D172C"/>
    <w:rsid w:val="003D29EC"/>
    <w:rsid w:val="003F07E5"/>
    <w:rsid w:val="003F6041"/>
    <w:rsid w:val="003F7C5A"/>
    <w:rsid w:val="0040331C"/>
    <w:rsid w:val="004069EB"/>
    <w:rsid w:val="00414363"/>
    <w:rsid w:val="00425BD8"/>
    <w:rsid w:val="00435C8A"/>
    <w:rsid w:val="00442163"/>
    <w:rsid w:val="004431F3"/>
    <w:rsid w:val="0045232B"/>
    <w:rsid w:val="00461B8A"/>
    <w:rsid w:val="00465928"/>
    <w:rsid w:val="00467EF9"/>
    <w:rsid w:val="00470303"/>
    <w:rsid w:val="00475E78"/>
    <w:rsid w:val="00493AC6"/>
    <w:rsid w:val="004A051C"/>
    <w:rsid w:val="004B1920"/>
    <w:rsid w:val="004C0B55"/>
    <w:rsid w:val="004C44C6"/>
    <w:rsid w:val="004C4E31"/>
    <w:rsid w:val="004C7AE0"/>
    <w:rsid w:val="004D6B54"/>
    <w:rsid w:val="004E1213"/>
    <w:rsid w:val="004E72FE"/>
    <w:rsid w:val="004F787C"/>
    <w:rsid w:val="00517828"/>
    <w:rsid w:val="00520FE7"/>
    <w:rsid w:val="00521004"/>
    <w:rsid w:val="0054531D"/>
    <w:rsid w:val="00546756"/>
    <w:rsid w:val="00553992"/>
    <w:rsid w:val="00563DE5"/>
    <w:rsid w:val="00564E4C"/>
    <w:rsid w:val="0056536B"/>
    <w:rsid w:val="00571554"/>
    <w:rsid w:val="0057235E"/>
    <w:rsid w:val="005740BF"/>
    <w:rsid w:val="005A3A1E"/>
    <w:rsid w:val="005B0071"/>
    <w:rsid w:val="005B2273"/>
    <w:rsid w:val="005B26C8"/>
    <w:rsid w:val="005C292D"/>
    <w:rsid w:val="005D3083"/>
    <w:rsid w:val="005E000D"/>
    <w:rsid w:val="005E1C6E"/>
    <w:rsid w:val="006026B4"/>
    <w:rsid w:val="00611B2E"/>
    <w:rsid w:val="006209B7"/>
    <w:rsid w:val="00621503"/>
    <w:rsid w:val="00630F61"/>
    <w:rsid w:val="00633AAB"/>
    <w:rsid w:val="00646A2F"/>
    <w:rsid w:val="006529DD"/>
    <w:rsid w:val="00670C40"/>
    <w:rsid w:val="0068374C"/>
    <w:rsid w:val="00685453"/>
    <w:rsid w:val="00685861"/>
    <w:rsid w:val="006A0447"/>
    <w:rsid w:val="006A1402"/>
    <w:rsid w:val="006A608E"/>
    <w:rsid w:val="006B5A97"/>
    <w:rsid w:val="006D2AB3"/>
    <w:rsid w:val="006D624C"/>
    <w:rsid w:val="006D62AE"/>
    <w:rsid w:val="006D789E"/>
    <w:rsid w:val="006E2186"/>
    <w:rsid w:val="006F2585"/>
    <w:rsid w:val="007101AC"/>
    <w:rsid w:val="0071076A"/>
    <w:rsid w:val="00721068"/>
    <w:rsid w:val="00737A77"/>
    <w:rsid w:val="00737AEE"/>
    <w:rsid w:val="00760969"/>
    <w:rsid w:val="0076262A"/>
    <w:rsid w:val="00762C56"/>
    <w:rsid w:val="00770626"/>
    <w:rsid w:val="00771B0F"/>
    <w:rsid w:val="00772066"/>
    <w:rsid w:val="007801BD"/>
    <w:rsid w:val="007A4231"/>
    <w:rsid w:val="007B0D46"/>
    <w:rsid w:val="007B6C37"/>
    <w:rsid w:val="007D10F6"/>
    <w:rsid w:val="007D50F5"/>
    <w:rsid w:val="007E2F32"/>
    <w:rsid w:val="007E68F6"/>
    <w:rsid w:val="00807790"/>
    <w:rsid w:val="00830316"/>
    <w:rsid w:val="00836C77"/>
    <w:rsid w:val="00836E15"/>
    <w:rsid w:val="00850297"/>
    <w:rsid w:val="00853F67"/>
    <w:rsid w:val="00854BE7"/>
    <w:rsid w:val="00861BA2"/>
    <w:rsid w:val="00865244"/>
    <w:rsid w:val="00871D8A"/>
    <w:rsid w:val="00873248"/>
    <w:rsid w:val="00881BE9"/>
    <w:rsid w:val="008927A8"/>
    <w:rsid w:val="0089537F"/>
    <w:rsid w:val="008A195F"/>
    <w:rsid w:val="008A43A9"/>
    <w:rsid w:val="008B1DD9"/>
    <w:rsid w:val="008B22E2"/>
    <w:rsid w:val="008B3A1A"/>
    <w:rsid w:val="008C055A"/>
    <w:rsid w:val="008F01DF"/>
    <w:rsid w:val="008F1BCD"/>
    <w:rsid w:val="009035BB"/>
    <w:rsid w:val="00905C2B"/>
    <w:rsid w:val="0091386E"/>
    <w:rsid w:val="00915D11"/>
    <w:rsid w:val="00920872"/>
    <w:rsid w:val="00924055"/>
    <w:rsid w:val="00925AE5"/>
    <w:rsid w:val="00953035"/>
    <w:rsid w:val="00954C8A"/>
    <w:rsid w:val="00971B82"/>
    <w:rsid w:val="00971EFB"/>
    <w:rsid w:val="009753F9"/>
    <w:rsid w:val="009805F2"/>
    <w:rsid w:val="0098559D"/>
    <w:rsid w:val="009874EF"/>
    <w:rsid w:val="009941A5"/>
    <w:rsid w:val="00994BBE"/>
    <w:rsid w:val="009A1D00"/>
    <w:rsid w:val="009B36A1"/>
    <w:rsid w:val="009C4720"/>
    <w:rsid w:val="009E20C4"/>
    <w:rsid w:val="009E6B64"/>
    <w:rsid w:val="009F339D"/>
    <w:rsid w:val="009F4323"/>
    <w:rsid w:val="009F54E4"/>
    <w:rsid w:val="00A02DF7"/>
    <w:rsid w:val="00A07C40"/>
    <w:rsid w:val="00A20564"/>
    <w:rsid w:val="00A21A71"/>
    <w:rsid w:val="00A2583D"/>
    <w:rsid w:val="00A27F75"/>
    <w:rsid w:val="00A37D4C"/>
    <w:rsid w:val="00A41062"/>
    <w:rsid w:val="00A43059"/>
    <w:rsid w:val="00A4460B"/>
    <w:rsid w:val="00A545E3"/>
    <w:rsid w:val="00A5647F"/>
    <w:rsid w:val="00A73DB2"/>
    <w:rsid w:val="00A80081"/>
    <w:rsid w:val="00A801DA"/>
    <w:rsid w:val="00A86EFE"/>
    <w:rsid w:val="00A90518"/>
    <w:rsid w:val="00AB0FF1"/>
    <w:rsid w:val="00AB1635"/>
    <w:rsid w:val="00AC33CD"/>
    <w:rsid w:val="00AC4C9B"/>
    <w:rsid w:val="00AE79B3"/>
    <w:rsid w:val="00AF71E5"/>
    <w:rsid w:val="00B16FF9"/>
    <w:rsid w:val="00B34B6B"/>
    <w:rsid w:val="00B350C4"/>
    <w:rsid w:val="00B55BA6"/>
    <w:rsid w:val="00B847A4"/>
    <w:rsid w:val="00B860A2"/>
    <w:rsid w:val="00B91A97"/>
    <w:rsid w:val="00B952DD"/>
    <w:rsid w:val="00BA5768"/>
    <w:rsid w:val="00BB1CB0"/>
    <w:rsid w:val="00BE13C6"/>
    <w:rsid w:val="00BE1889"/>
    <w:rsid w:val="00BE43A1"/>
    <w:rsid w:val="00C03CF1"/>
    <w:rsid w:val="00C07D9A"/>
    <w:rsid w:val="00C11D0D"/>
    <w:rsid w:val="00C1623F"/>
    <w:rsid w:val="00C2146B"/>
    <w:rsid w:val="00C30254"/>
    <w:rsid w:val="00C30D06"/>
    <w:rsid w:val="00C32FD6"/>
    <w:rsid w:val="00C3499B"/>
    <w:rsid w:val="00C507EC"/>
    <w:rsid w:val="00C66ACB"/>
    <w:rsid w:val="00C727B2"/>
    <w:rsid w:val="00C82377"/>
    <w:rsid w:val="00C90CF4"/>
    <w:rsid w:val="00C97CC3"/>
    <w:rsid w:val="00CA3B28"/>
    <w:rsid w:val="00CB3926"/>
    <w:rsid w:val="00CB3B24"/>
    <w:rsid w:val="00CB3CE7"/>
    <w:rsid w:val="00CC0079"/>
    <w:rsid w:val="00CC788B"/>
    <w:rsid w:val="00CC78AC"/>
    <w:rsid w:val="00CE6368"/>
    <w:rsid w:val="00D06F27"/>
    <w:rsid w:val="00D2633E"/>
    <w:rsid w:val="00D36D86"/>
    <w:rsid w:val="00D50F4C"/>
    <w:rsid w:val="00D52BCA"/>
    <w:rsid w:val="00D66F35"/>
    <w:rsid w:val="00D71636"/>
    <w:rsid w:val="00D75A3B"/>
    <w:rsid w:val="00D80790"/>
    <w:rsid w:val="00D812B4"/>
    <w:rsid w:val="00D855D6"/>
    <w:rsid w:val="00D96E5E"/>
    <w:rsid w:val="00DA0E8B"/>
    <w:rsid w:val="00DA3343"/>
    <w:rsid w:val="00DA36B7"/>
    <w:rsid w:val="00DA5575"/>
    <w:rsid w:val="00DB6286"/>
    <w:rsid w:val="00DD195F"/>
    <w:rsid w:val="00DE7F33"/>
    <w:rsid w:val="00E036F0"/>
    <w:rsid w:val="00E105CD"/>
    <w:rsid w:val="00E16FE7"/>
    <w:rsid w:val="00E221EC"/>
    <w:rsid w:val="00E24FB4"/>
    <w:rsid w:val="00E276ED"/>
    <w:rsid w:val="00E308DC"/>
    <w:rsid w:val="00E448BD"/>
    <w:rsid w:val="00E52245"/>
    <w:rsid w:val="00E53228"/>
    <w:rsid w:val="00E604CB"/>
    <w:rsid w:val="00E63B6E"/>
    <w:rsid w:val="00E7053C"/>
    <w:rsid w:val="00E729D0"/>
    <w:rsid w:val="00E730CA"/>
    <w:rsid w:val="00E74A55"/>
    <w:rsid w:val="00E75EBD"/>
    <w:rsid w:val="00E77A94"/>
    <w:rsid w:val="00E835B9"/>
    <w:rsid w:val="00E852A0"/>
    <w:rsid w:val="00E91EA6"/>
    <w:rsid w:val="00E95487"/>
    <w:rsid w:val="00E975AE"/>
    <w:rsid w:val="00EA1DB7"/>
    <w:rsid w:val="00EB0FA4"/>
    <w:rsid w:val="00EC0C12"/>
    <w:rsid w:val="00EE5599"/>
    <w:rsid w:val="00EF1D9C"/>
    <w:rsid w:val="00F04D27"/>
    <w:rsid w:val="00F05B88"/>
    <w:rsid w:val="00F11ABE"/>
    <w:rsid w:val="00F3145C"/>
    <w:rsid w:val="00F40610"/>
    <w:rsid w:val="00F41004"/>
    <w:rsid w:val="00F43C1F"/>
    <w:rsid w:val="00F51977"/>
    <w:rsid w:val="00F626F9"/>
    <w:rsid w:val="00F663EC"/>
    <w:rsid w:val="00F71B9D"/>
    <w:rsid w:val="00F8348B"/>
    <w:rsid w:val="00F97722"/>
    <w:rsid w:val="00FA1E7F"/>
    <w:rsid w:val="00FA2450"/>
    <w:rsid w:val="00FA321E"/>
    <w:rsid w:val="00FB5EF6"/>
    <w:rsid w:val="00FC112F"/>
    <w:rsid w:val="00FC16BA"/>
    <w:rsid w:val="00FD03C1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C78B"/>
  <w15:docId w15:val="{26C264E3-7276-4FD8-A2D6-64F73942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6B"/>
    <w:pPr>
      <w:spacing w:after="0" w:line="240" w:lineRule="auto"/>
    </w:pPr>
    <w:rPr>
      <w:rFonts w:ascii="Calibri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71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B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6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6B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F43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3C1F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F43C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C1F"/>
    <w:rPr>
      <w:rFonts w:ascii="Calibri" w:hAnsi="Calibri" w:cs="Times New Roman"/>
      <w:lang w:eastAsia="fr-FR"/>
    </w:rPr>
  </w:style>
  <w:style w:type="paragraph" w:styleId="Notedebasdepage">
    <w:name w:val="footnote text"/>
    <w:basedOn w:val="Normal"/>
    <w:link w:val="NotedebasdepageCar"/>
    <w:semiHidden/>
    <w:rsid w:val="001E6A48"/>
    <w:rPr>
      <w:rFonts w:ascii="Times New Roman" w:eastAsia="MS Mincho" w:hAnsi="Times New Roman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1E6A48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semiHidden/>
    <w:rsid w:val="001E6A48"/>
    <w:rPr>
      <w:vertAlign w:val="superscript"/>
    </w:rPr>
  </w:style>
  <w:style w:type="character" w:styleId="Numrodepage">
    <w:name w:val="page number"/>
    <w:basedOn w:val="Policepardfaut"/>
    <w:rsid w:val="001E6A48"/>
  </w:style>
  <w:style w:type="paragraph" w:styleId="Corpsdetexte">
    <w:name w:val="Body Text"/>
    <w:basedOn w:val="Normal"/>
    <w:link w:val="CorpsdetexteCar"/>
    <w:rsid w:val="001E6A48"/>
    <w:rPr>
      <w:rFonts w:ascii="Tahoma" w:eastAsia="Times New Roman" w:hAnsi="Tahoma" w:cs="Tahoma"/>
      <w:sz w:val="20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6A48"/>
    <w:rPr>
      <w:rFonts w:ascii="Tahoma" w:eastAsia="Times New Roman" w:hAnsi="Tahoma" w:cs="Tahoma"/>
      <w:sz w:val="20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F5A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5A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5AB2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5A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5AB2"/>
    <w:rPr>
      <w:rFonts w:ascii="Calibri" w:hAnsi="Calibri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471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customStyle="1" w:styleId="Normalliste">
    <w:name w:val="Normal liste"/>
    <w:link w:val="NormallisteCarCar"/>
    <w:rsid w:val="00160AFF"/>
    <w:pPr>
      <w:numPr>
        <w:numId w:val="17"/>
      </w:numPr>
      <w:spacing w:after="0" w:line="240" w:lineRule="auto"/>
    </w:pPr>
    <w:rPr>
      <w:rFonts w:ascii="Times New Roman" w:eastAsia="Times New Roman" w:hAnsi="Times New Roman" w:cs="Arial"/>
      <w:szCs w:val="20"/>
      <w:lang w:eastAsia="fr-FR"/>
    </w:rPr>
  </w:style>
  <w:style w:type="character" w:customStyle="1" w:styleId="NormallisteCarCar">
    <w:name w:val="Normal liste Car Car"/>
    <w:basedOn w:val="Policepardfaut"/>
    <w:link w:val="Normalliste"/>
    <w:rsid w:val="00160AFF"/>
    <w:rPr>
      <w:rFonts w:ascii="Times New Roman" w:eastAsia="Times New Roman" w:hAnsi="Times New Roman" w:cs="Arial"/>
      <w:szCs w:val="20"/>
      <w:lang w:eastAsia="fr-FR"/>
    </w:rPr>
  </w:style>
  <w:style w:type="table" w:styleId="Grilledutableau">
    <w:name w:val="Table Grid"/>
    <w:basedOn w:val="TableauNormal"/>
    <w:rsid w:val="00160AF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FFB3A-2B0E-4F79-AA1E-81BD048B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1796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Groupama Asset Management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Baudin</dc:creator>
  <cp:lastModifiedBy>CONTE Arabelle</cp:lastModifiedBy>
  <cp:revision>3</cp:revision>
  <cp:lastPrinted>2018-09-25T07:40:00Z</cp:lastPrinted>
  <dcterms:created xsi:type="dcterms:W3CDTF">2018-11-26T16:37:00Z</dcterms:created>
  <dcterms:modified xsi:type="dcterms:W3CDTF">2018-11-26T16:37:00Z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1d91663c-46bf-477b-9874-da177df1fb1f</vt:lpwstr>
  </property>
</Properties>
</file>